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eastAsia="Microsoft YaHei"/>
          <w:b/>
          <w:bCs/>
          <w:color w:val="D4875A"/>
          <w:spacing w:val="30"/>
          <w:sz w:val="14"/>
          <w:szCs w:val="14"/>
        </w:rPr>
        <w:t xml:space="preserve">АНАЛИЗ · ЭМПИЛС · 2026</w:t>
      </w:r>
    </w:p>
    <w:p>
      <w:pPr>
        <w:spacing w:after="80" w:line="260"/>
      </w:pPr>
      <w:r>
        <w:rPr>
          <w:rFonts w:ascii="Calibri" w:eastAsia="Microsoft YaHei"/>
          <w:b/>
          <w:bCs/>
          <w:color w:val="1A2330"/>
          <w:sz w:val="24"/>
          <w:szCs w:val="24"/>
        </w:rPr>
        <w:t xml:space="preserve">Выход на рынок аэрозольных ЛКМ: анализ и рекомендации</w:t>
      </w:r>
    </w:p>
    <w:p>
      <w:pPr>
        <w:spacing w:after="30" w:line="210"/>
        <w:jc w:val="both"/>
      </w:pPr>
      <w:r>
        <w:rPr>
          <w:rFonts w:ascii="Calibri" w:eastAsia="Microsoft YaHei"/>
          <w:color w:val="1F2937"/>
          <w:sz w:val="14"/>
          <w:szCs w:val="14"/>
        </w:rPr>
        <w:t xml:space="preserve">Компактный бриф: рынок РФ, конкуренты, линейки, маржинальность, сложности. Цель — определить приоритетные линейки для быстрого старта и максимальной маржи.</w:t>
      </w:r>
    </w:p>
    <w:p>
      <w:pPr>
        <w:pBdr>
          <w:bottom w:val="single" w:color="D4875A" w:sz="4" w:space="1"/>
        </w:pBdr>
        <w:spacing w:after="60" w:before="60"/>
      </w:pPr>
    </w:p>
    <w:p>
      <w:pPr>
        <w:pStyle w:val="Heading2"/>
        <w:spacing w:after="30" w:before="60" w:line="200"/>
      </w:pPr>
      <w:r>
        <w:rPr>
          <w:rFonts w:ascii="Calibri" w:eastAsia="Microsoft YaHei"/>
          <w:b/>
          <w:bCs/>
          <w:color w:val="1A2330"/>
          <w:sz w:val="16"/>
          <w:szCs w:val="16"/>
        </w:rPr>
        <w:t xml:space="preserve">1. Рынок аэрозольных ЛКМ в России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Объём рынка РФ</w:t>
      </w:r>
      <w:r>
        <w:rPr>
          <w:rFonts w:ascii="Calibri" w:eastAsia="Microsoft YaHei"/>
          <w:color w:val="1F2937"/>
          <w:sz w:val="14"/>
          <w:szCs w:val="14"/>
        </w:rPr>
        <w:t xml:space="preserve"> — ~8-10 млн баллонов/год, ~$70-100 млн (оценочно). Доля в общем рынке ЛКМ — ~2-3% от тоннажа, но выше по выручке из-за premium-цены.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Динамика</w:t>
      </w:r>
      <w:r>
        <w:rPr>
          <w:rFonts w:ascii="Calibri" w:eastAsia="Microsoft YaHei"/>
          <w:color w:val="1F2937"/>
          <w:sz w:val="14"/>
          <w:szCs w:val="14"/>
        </w:rPr>
        <w:t xml:space="preserve"> — Стабильный рост 5-6%/год (мировой CAGR 5,5%). В РФ рынок растёт за счёт DIY-сегмента и автопокраски. После 2022 г. — уход части импорта (Krylon, Rust-Oleum) освободил нишу.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Сегментация</w:t>
      </w:r>
      <w:r>
        <w:rPr>
          <w:rFonts w:ascii="Calibri" w:eastAsia="Microsoft YaHei"/>
          <w:color w:val="1F2937"/>
          <w:sz w:val="14"/>
          <w:szCs w:val="14"/>
        </w:rPr>
        <w:t xml:space="preserve"> — DIY/хозмаги — 45% · Авто/мото — 25% · Граффити/творчество — 15% · B2B/промышленность — 10% · Прочее — 5%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Тренды</w:t>
      </w:r>
      <w:r>
        <w:rPr>
          <w:rFonts w:ascii="Calibri" w:eastAsia="Microsoft YaHei"/>
          <w:color w:val="1F2937"/>
          <w:sz w:val="14"/>
          <w:szCs w:val="14"/>
        </w:rPr>
        <w:t xml:space="preserve"> — 1) Рост акриловых спреев (экологичность, отсутствие запаха) · 2) Спрос на спецэффекты (металлик, хром, флуоресцентные) · 3) Локализация производства (уход импорта) · 4) Рост e-commerce (OZON, Wildberries)</w:t>
      </w:r>
    </w:p>
    <w:p>
      <w:pPr>
        <w:pStyle w:val="Heading2"/>
        <w:spacing w:after="30" w:before="60" w:line="200"/>
      </w:pPr>
      <w:r>
        <w:rPr>
          <w:rFonts w:ascii="Calibri" w:eastAsia="Microsoft YaHei"/>
          <w:b/>
          <w:bCs/>
          <w:color w:val="1A2330"/>
          <w:sz w:val="16"/>
          <w:szCs w:val="16"/>
        </w:rPr>
        <w:t xml:space="preserve">2. Линейки: что производить, приоритеты, маржа</w:t>
      </w:r>
    </w:p>
    <w:tbl>
      <w:tblPr>
        <w:tblW w:type="pct" w:w="100%"/>
        <w:tblBorders>
          <w:top w:val="single" w:color="1A2330" w:sz="3"/>
          <w:left w:val="none" w:color="FFFFFF" w:sz="0"/>
          <w:bottom w:val="single" w:color="1A2330" w:sz="3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Линейка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Связующее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RAL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Степень блеска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Приоритет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Маржа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Скорость продаж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Универсальная алкидная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Алкидная смола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По RAL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Глянец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1 (первая)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2E7D32"/>
                <w:sz w:val="14"/>
                <w:szCs w:val="14"/>
              </w:rPr>
              <w:t xml:space="preserve">Высокая (40-50%)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Быстро — DIY + авто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Грунт-эмаль алкидная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Алкид + антикорр. добавки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Не по RAL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Полуглянец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1 (первая)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2E7D32"/>
                <w:sz w:val="14"/>
                <w:szCs w:val="14"/>
              </w:rPr>
              <w:t xml:space="preserve">Высокая (45-55%)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Быстро — B2B + DIY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Акриловая универсальная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Акриловая дисперсия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По RAL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Матовый / полуматовый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2 (вторая)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2E7D32"/>
                <w:sz w:val="14"/>
                <w:szCs w:val="14"/>
              </w:rPr>
              <w:t xml:space="preserve">Средняя (30-40%)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Средне — творчество + DIY</w:t>
            </w:r>
          </w:p>
        </w:tc>
      </w:tr>
    </w:tbl>
    <w:p>
      <w:pPr>
        <w:spacing w:before="40"/>
      </w:pP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ПЕРВАЯ ОЧЕРЕДЬ (быстрые продажи)</w:t>
      </w:r>
      <w:r>
        <w:rPr>
          <w:rFonts w:ascii="Calibri" w:eastAsia="Microsoft YaHei"/>
          <w:color w:val="1F2937"/>
          <w:sz w:val="14"/>
          <w:szCs w:val="14"/>
        </w:rPr>
        <w:t xml:space="preserve"> — Универсальная алкидная по RAL (глянец) + Грунт-эмаль алкидная (не по RAL). Причины: высокий спрос DIY + авто, узнаваемость RAL, высокая маржа (40-55%), синергия с брендом TITAN (грунт-эмаль).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ВТОРАЯ ОЧЕРЕДЬ (маржа + тренд)</w:t>
      </w:r>
      <w:r>
        <w:rPr>
          <w:rFonts w:ascii="Calibri" w:eastAsia="Microsoft YaHei"/>
          <w:color w:val="1F2937"/>
          <w:sz w:val="14"/>
          <w:szCs w:val="14"/>
        </w:rPr>
        <w:t xml:space="preserve"> — Акриловая универсальная по RAL (матовый/полуматовый). Причины: растущий тренд на экологичность, более высокая цена, но меньший объём. Целевая аудитория — творчество, граффити, премиум DIY.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Глянец vs матовый</w:t>
      </w:r>
      <w:r>
        <w:rPr>
          <w:rFonts w:ascii="Calibri" w:eastAsia="Microsoft YaHei"/>
          <w:color w:val="1F2937"/>
          <w:sz w:val="14"/>
          <w:szCs w:val="14"/>
        </w:rPr>
        <w:t xml:space="preserve"> — Глянец — больший объём продаж (алкидная, авто, DIY). Матовый — растущий тренд (акрил, интерьер, дизайн). Рекомендация: глянец = объём, матовый = маржа.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ПОЧЕМУ АЛКИД — ТОП-1 (а не акрил)</w:t>
      </w:r>
      <w:r>
        <w:rPr>
          <w:rFonts w:ascii="Calibri" w:eastAsia="Microsoft YaHei"/>
          <w:color w:val="1F2937"/>
          <w:sz w:val="14"/>
          <w:szCs w:val="14"/>
        </w:rPr>
        <w:t xml:space="preserve"> — Алкид занимает ~55% рынка аэрозолей (акрил ~30%, нитро ~10%). Алкид = «золотой стандарт» спреев: укрывистость за 1 слой, сохнет 15-30 мин, прочная плёнка, глянец, атмосферостойкость. Алкид дешевле по сырью (на 20-30%), значит выше маржа. Алкид подходит для металла + дерева + пластика (универсал), акрил — преимущественно интерьер. BOSNY и KUDO — лидеры рынка — оба на алкидной основе. У Эмпилс уже есть алкидная экспертиза (TITAN) — не нужно заново строить компетенцию.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ПОЧЕМУ ГРУНТ-ЭМАЛЬ — 2-е МЕСТО (а не 1-е)</w:t>
      </w:r>
      <w:r>
        <w:rPr>
          <w:rFonts w:ascii="Calibri" w:eastAsia="Microsoft YaHei"/>
          <w:color w:val="1F2937"/>
          <w:sz w:val="14"/>
          <w:szCs w:val="14"/>
        </w:rPr>
        <w:t xml:space="preserve"> — Грунт-эмаль 3в1 = узкая ниша: только металл, только по ржавчине. Универсальная алкидная — шире (металл + дерево + пластик + камень). Маржа у грунт-эмали выше (45-55% vs 40-50%), но объём — меньше. Грунт-эмаль = самый быстрый старт (синергия с TITAN: бренд, формулировка, каналы), но потолок ниже — не все DIY-покупатели красят ржавчину. Поэтому: грунт-эмаль = быстрый старт + максимальная маржа, универсальная = массовый объём.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ПОЧЕМУ АКРИЛ — 3-е МЕСТО (а не 1-е, ведь он растёт)</w:t>
      </w:r>
      <w:r>
        <w:rPr>
          <w:rFonts w:ascii="Calibri" w:eastAsia="Microsoft YaHei"/>
          <w:color w:val="1F2937"/>
          <w:sz w:val="14"/>
          <w:szCs w:val="14"/>
        </w:rPr>
        <w:t xml:space="preserve"> — Акрил — растущий тренд (CAGR 8% vs 4% у алкида), но пока уступает по объёму в 1.8 раза. В аэрозоле акрил дороже по сырью на 20-30% (дисперсия дороже алкидной смолы), значит ниже маржа (30-40% vs 40-55%). Акриловые спреи — преимущественно для интерьера и творчества, а основной объём рынка — это металл/улица/авто = алкид. Акрил не подходит для окраски по ржавчине (нет антикорр. свойств). Причина 3-го места: для быстрого старта нужен объём, а объём — это алкид. Акрил = тренд + маржа в премиуме, но не объём.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ЧЕГО НЕ ПРОИЗВОДИТЬ (анти-рекомендации)</w:t>
      </w:r>
      <w:r>
        <w:rPr>
          <w:rFonts w:ascii="Calibri" w:eastAsia="Microsoft YaHei"/>
          <w:color w:val="1F2937"/>
          <w:sz w:val="14"/>
          <w:szCs w:val="14"/>
        </w:rPr>
        <w:t xml:space="preserve"> — Нитроцеллюлозные спреи — устаревшая технология, вред, низкая маржа. Грунт-эмаль акриловая по RAL — каннибализация грунт-эмали алкидной (TITAN). Премиум-спецэффекты (хром, флуоресцент) — высокая себестоимость, малый объём, ниша Krylon/Motip. Термостойкие спреи (до 600°C) — узкий рынок, спец. сырьё, конкуренция с Bosny/Certa. Авто-эмали полные (не RAL) — фрагментация по маркам авто, сложность колеровки.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В КАКИЕ СЕГМЕНТЫ НЕ ИДТИ</w:t>
      </w:r>
      <w:r>
        <w:rPr>
          <w:rFonts w:ascii="Calibri" w:eastAsia="Microsoft YaHei"/>
          <w:color w:val="1F2937"/>
          <w:sz w:val="14"/>
          <w:szCs w:val="14"/>
        </w:rPr>
        <w:t xml:space="preserve"> — Эконом (до 250 ₽) — демпинг Aim-One/Китай, нет маржи без масштаба. Граффити-профи — узкая ниша, высокая конкуренция (Montana, Loop). Авто-профессиональный (СТО) — требуют каталога по маркам авто, сертификатов, цикл сделки 6-12 мес. Промышленные спреи (ISO) — низкий объём, длинный цикл, B2B-специфика.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РЕКОМЕНДАЦИИ ПО ЦВЕТАМ RAL</w:t>
      </w:r>
      <w:r>
        <w:rPr>
          <w:rFonts w:ascii="Calibri" w:eastAsia="Microsoft YaHei"/>
          <w:color w:val="1F2937"/>
          <w:sz w:val="14"/>
          <w:szCs w:val="14"/>
        </w:rPr>
        <w:t xml:space="preserve"> — Топ-5 цветов дают ~70% продаж. Старт — 5 базовых, расширение — +5 расширенных, опционально — +4 нишевых. Синергия с TITAN: RAL 9005, 8017, 7024 — топ-цвета грунт-эмали TITAN, переносятся в аэрозоль.</w:t>
      </w:r>
    </w:p>
    <w:tbl>
      <w:tblPr>
        <w:tblW w:type="pct" w:w="100%"/>
        <w:tblBorders>
          <w:top w:val="single" w:color="1A2330" w:sz="3"/>
          <w:left w:val="none" w:color="FFFFFF" w:sz="0"/>
          <w:bottom w:val="single" w:color="1A2330" w:sz="3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FFFFFF"/>
                <w:sz w:val="12"/>
                <w:szCs w:val="12"/>
              </w:rPr>
              <w:t xml:space="preserve">Приоритет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FFFFFF"/>
                <w:sz w:val="12"/>
                <w:szCs w:val="12"/>
              </w:rPr>
              <w:t xml:space="preserve">RAL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FFFFFF"/>
                <w:sz w:val="12"/>
                <w:szCs w:val="12"/>
              </w:rPr>
              <w:t xml:space="preserve">Цвет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FFFFFF"/>
                <w:sz w:val="12"/>
                <w:szCs w:val="12"/>
              </w:rPr>
              <w:t xml:space="preserve">Применение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FFFFFF"/>
                <w:sz w:val="12"/>
                <w:szCs w:val="12"/>
              </w:rPr>
              <w:t xml:space="preserve">Доля продаж (оценка)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1 — Базовые (старт)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9005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Чёрный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Авто, заборы, металл, DIY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~25% (топ-1)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1 — Базовые (старт)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9010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Белый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Интерьер, дерево, DIY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~15%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1 — Базовые (старт)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8017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Шоколадно-коричневый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Дерево, заборы, фасад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~12%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1 — Базовые (старт)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7024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Графитовый серый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Металл, промышленность, DIY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~10%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1 — Базовые (старт)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3000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Красный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Авто, сигнальная окраска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~8%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2 — Расширенные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6005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Зелёный (мох)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Заборы, кровля, фасад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~6%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2 — Расширенные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5010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Синий (гентский)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Авто, металл, DIY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~5%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2 — Расширенные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1015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Светло-бежевый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Интерьер, дерево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~4%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2 — Расширенные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7001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Серебристо-серый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Авто, металл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~4%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2 — Расширенные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1003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Жёлтый (сигнальный)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Сигнальная, спецтехника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~3%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6B7280"/>
                <w:sz w:val="12"/>
                <w:szCs w:val="12"/>
              </w:rPr>
              <w:t xml:space="preserve">3 — Опциональные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4001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Фиолетовый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Творчество, граффити, DIY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~2%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6B7280"/>
                <w:sz w:val="12"/>
                <w:szCs w:val="12"/>
              </w:rPr>
              <w:t xml:space="preserve">3 — Опциональные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6018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Жёлто-зелёный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Творчество, хобби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~2%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6B7280"/>
                <w:sz w:val="12"/>
                <w:szCs w:val="12"/>
              </w:rPr>
              <w:t xml:space="preserve">3 — Опциональные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2000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Жёлто-оранжевый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Авто, творчество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AFAFA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~2%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6B7280"/>
                <w:sz w:val="12"/>
                <w:szCs w:val="12"/>
              </w:rPr>
              <w:t xml:space="preserve">3 — Опциональные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1F2937"/>
                <w:sz w:val="12"/>
                <w:szCs w:val="12"/>
              </w:rPr>
              <w:t xml:space="preserve">RAL 9006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Бело-алюминиевый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2"/>
                <w:szCs w:val="12"/>
              </w:rPr>
              <w:t xml:space="preserve">Металл, промышленность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shd w:fill="FFFFFF" w:val="clear"/>
            <w:tcMar>
              <w:top w:type="dxa" w:w="12"/>
              <w:left w:type="dxa" w:w="40"/>
              <w:bottom w:type="dxa" w:w="12"/>
              <w:right w:type="dxa" w:w="40"/>
            </w:tcMar>
          </w:tcPr>
          <w:p>
            <w:pPr>
              <w:spacing w:line="160"/>
            </w:pPr>
            <w:r>
              <w:rPr>
                <w:rFonts w:ascii="Calibri" w:eastAsia="Microsoft YaHei"/>
                <w:b/>
                <w:bCs/>
                <w:color w:val="D4875A"/>
                <w:sz w:val="12"/>
                <w:szCs w:val="12"/>
              </w:rPr>
              <w:t xml:space="preserve">~2%</w:t>
            </w:r>
          </w:p>
        </w:tc>
      </w:tr>
    </w:tbl>
    <w:p>
      <w:pPr>
        <w:pStyle w:val="Heading2"/>
        <w:spacing w:after="30" w:before="60" w:line="200"/>
      </w:pPr>
      <w:r>
        <w:rPr>
          <w:rFonts w:ascii="Calibri" w:eastAsia="Microsoft YaHei"/>
          <w:b/>
          <w:bCs/>
          <w:color w:val="1A2330"/>
          <w:sz w:val="16"/>
          <w:szCs w:val="16"/>
        </w:rPr>
        <w:t xml:space="preserve">3. Конкуренты на рынке РФ</w:t>
      </w:r>
    </w:p>
    <w:tbl>
      <w:tblPr>
        <w:tblW w:type="pct" w:w="100%"/>
        <w:tblBorders>
          <w:top w:val="single" w:color="1A2330" w:sz="3"/>
          <w:left w:val="none" w:color="FFFFFF" w:sz="0"/>
          <w:bottom w:val="single" w:color="1A2330" w:sz="3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Бренд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Страна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Сегмент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Цена за баллон</w:t>
            </w:r>
          </w:p>
        </w:tc>
        <w:tc>
          <w:tcPr>
            <w:tcBorders>
              <w:top w:val="single" w:color="1A2330" w:sz="3"/>
              <w:left w:val="none" w:color="FFFFFF" w:sz="0"/>
              <w:bottom w:val="single" w:color="1A2330" w:sz="3"/>
              <w:right w:val="none" w:color="FFFFFF" w:sz="0"/>
            </w:tcBorders>
            <w:shd w:fill="1A23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FFFFFF"/>
                <w:sz w:val="14"/>
                <w:szCs w:val="14"/>
              </w:rPr>
              <w:t xml:space="preserve">Ассортимент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BOSNY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Тайланд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Средний 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350-500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77+ SKU, акрил + алкид, RAL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KUDO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Россия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Средний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250-400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8 серий: AUTO, ARTE, INDUSTRY, HOME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NewTon (Эмпилс)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Россия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Эконом-средний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200-350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D4875A"/>
                <w:sz w:val="14"/>
                <w:szCs w:val="14"/>
              </w:rPr>
              <w:t xml:space="preserve">Ограниченный, RAL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Krylon (Rust-Oleum)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США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Премиум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600-900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Широкий, спецэффекты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Motip / ColorMatic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Нидерланды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Премиум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500-800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Профессиональный, авто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Decorix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Германия/РФ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Средний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300-450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RAL + декоративные эффекты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/>
                <w:bCs/>
                <w:color w:val="1F2937"/>
                <w:sz w:val="14"/>
                <w:szCs w:val="14"/>
              </w:rPr>
              <w:t xml:space="preserve">Aim-One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Россия/Китай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Эконом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150-250 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0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4"/>
                <w:szCs w:val="14"/>
              </w:rPr>
              <w:t xml:space="preserve">Базовые цвета RAL</w:t>
            </w:r>
          </w:p>
        </w:tc>
      </w:tr>
    </w:tbl>
    <w:p>
      <w:pPr>
        <w:spacing w:before="40"/>
      </w:pP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Позиция Эмпилс (NewTon)</w:t>
      </w:r>
      <w:r>
        <w:rPr>
          <w:rFonts w:ascii="Calibri" w:eastAsia="Microsoft YaHei"/>
          <w:color w:val="1F2937"/>
          <w:sz w:val="14"/>
          <w:szCs w:val="14"/>
        </w:rPr>
        <w:t xml:space="preserve"> — Сейчас — ограниченный ассортимент, эконом-сегмент. Возможность: расширение до 30-50 SKU, вход в средний сегмент через RAL + синергию с TITAN.</w:t>
      </w:r>
    </w:p>
    <w:p>
      <w:pPr>
        <w:pStyle w:val="Heading2"/>
        <w:spacing w:after="30" w:before="60" w:line="200"/>
      </w:pPr>
      <w:r>
        <w:rPr>
          <w:rFonts w:ascii="Calibri" w:eastAsia="Microsoft YaHei"/>
          <w:b/>
          <w:bCs/>
          <w:color w:val="1A2330"/>
          <w:sz w:val="16"/>
          <w:szCs w:val="16"/>
        </w:rPr>
        <w:t xml:space="preserve">4. Маржинальность и экономика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Себестоимость баллона 400-520 мл</w:t>
      </w:r>
      <w:r>
        <w:rPr>
          <w:rFonts w:ascii="Calibri" w:eastAsia="Microsoft YaHei"/>
          <w:color w:val="1F2937"/>
          <w:sz w:val="14"/>
          <w:szCs w:val="14"/>
        </w:rPr>
        <w:t xml:space="preserve"> — 80-150 ₽ (сырьё 40-60% + баллон 15-20% + газ-пропеллент 5-10% + фасовка/логистика 15-20%)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Розничная цена</w:t>
      </w:r>
      <w:r>
        <w:rPr>
          <w:rFonts w:ascii="Calibri" w:eastAsia="Microsoft YaHei"/>
          <w:color w:val="1F2937"/>
          <w:sz w:val="14"/>
          <w:szCs w:val="14"/>
        </w:rPr>
        <w:t xml:space="preserve"> — Эконом 150-250 ₽ · Средний 300-500 ₽ · Премиум 600-900 ₽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Маржа производителя</w:t>
      </w:r>
      <w:r>
        <w:rPr>
          <w:rFonts w:ascii="Calibri" w:eastAsia="Microsoft YaHei"/>
          <w:color w:val="1F2937"/>
          <w:sz w:val="14"/>
          <w:szCs w:val="14"/>
        </w:rPr>
        <w:t xml:space="preserve"> — 30-55% в зависимости от сегмента. Выше всего — грунт-эмаль алкидная (45-55%) за счёт TITAN-синергии. Ниже всего — акриловая эконом (25-35%).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ROI входа</w:t>
      </w:r>
      <w:r>
        <w:rPr>
          <w:rFonts w:ascii="Calibri" w:eastAsia="Microsoft YaHei"/>
          <w:color w:val="1F2937"/>
          <w:sz w:val="14"/>
          <w:szCs w:val="14"/>
        </w:rPr>
        <w:t xml:space="preserve"> — При контрактном производстве (без своей линии) — инвестиции 2-5 млн ₽ на запуск 15-20 SKU. Окупаемость 8-12 мес при марже 40%+.</w:t>
      </w:r>
    </w:p>
    <w:p>
      <w:pPr>
        <w:pStyle w:val="Heading2"/>
        <w:spacing w:after="30" w:before="60" w:line="200"/>
      </w:pPr>
      <w:r>
        <w:rPr>
          <w:rFonts w:ascii="Calibri" w:eastAsia="Microsoft YaHei"/>
          <w:b/>
          <w:bCs/>
          <w:color w:val="1A2330"/>
          <w:sz w:val="16"/>
          <w:szCs w:val="16"/>
        </w:rPr>
        <w:t xml:space="preserve">5. Сложности и риски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Газ-пропеллент (LPG/диметиловый эфир)</w:t>
      </w:r>
      <w:r>
        <w:rPr>
          <w:rFonts w:ascii="Calibri" w:eastAsia="Microsoft YaHei"/>
          <w:color w:val="1F2937"/>
          <w:sz w:val="14"/>
          <w:szCs w:val="14"/>
        </w:rPr>
        <w:t xml:space="preserve"> — Воспламеняемость, специфика хранения и транспортировки. Нужны сертифицированные помещения. Давление зависит от температуры — проблемы зимой.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Баллоны и комплектующие</w:t>
      </w:r>
      <w:r>
        <w:rPr>
          <w:rFonts w:ascii="Calibri" w:eastAsia="Microsoft YaHei"/>
          <w:color w:val="1F2937"/>
          <w:sz w:val="14"/>
          <w:szCs w:val="14"/>
        </w:rPr>
        <w:t xml:space="preserve"> — Производство жести в РФ: ЗАО «Аэрозольная банка» (СПБ), ООО «Линар» (Ставрополь). Клапаны и кнопки — в основном импорт (Китай). Риск перебоев поставок.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Сертификация</w:t>
      </w:r>
      <w:r>
        <w:rPr>
          <w:rFonts w:ascii="Calibri" w:eastAsia="Microsoft YaHei"/>
          <w:color w:val="1F2937"/>
          <w:sz w:val="14"/>
          <w:szCs w:val="14"/>
        </w:rPr>
        <w:t xml:space="preserve"> — ГОСТ Р, СГР, пожарная безопасность (для LPG). Срок получения — 2-4 месяца на SKU.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Конкуренция по цене</w:t>
      </w:r>
      <w:r>
        <w:rPr>
          <w:rFonts w:ascii="Calibri" w:eastAsia="Microsoft YaHei"/>
          <w:color w:val="1F2937"/>
          <w:sz w:val="14"/>
          <w:szCs w:val="14"/>
        </w:rPr>
        <w:t xml:space="preserve"> — Aim-One и китайские бренды демпингуют до 150 ₽. Сложно конкурировать в эконом-сегменте без масштаба.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Каналы сбыта</w:t>
      </w:r>
      <w:r>
        <w:rPr>
          <w:rFonts w:ascii="Calibri" w:eastAsia="Microsoft YaHei"/>
          <w:color w:val="1F2937"/>
          <w:sz w:val="14"/>
          <w:szCs w:val="14"/>
        </w:rPr>
        <w:t xml:space="preserve"> — DIY-сети требуют входную плату + ретро-бонусы. E-commerce (OZON, WB) — высокая комиссия 15-25%.</w:t>
      </w:r>
    </w:p>
    <w:p>
      <w:pPr>
        <w:pBdr>
          <w:bottom w:val="single" w:color="D4875A" w:sz="4" w:space="1"/>
        </w:pBdr>
        <w:spacing w:after="60" w:before="60"/>
      </w:pPr>
    </w:p>
    <w:p>
      <w:pPr>
        <w:pStyle w:val="Heading2"/>
        <w:spacing w:after="30" w:before="60" w:line="200"/>
      </w:pPr>
      <w:r>
        <w:rPr>
          <w:rFonts w:ascii="Calibri" w:eastAsia="Microsoft YaHei"/>
          <w:b/>
          <w:bCs/>
          <w:color w:val="1A2330"/>
          <w:sz w:val="16"/>
          <w:szCs w:val="16"/>
        </w:rPr>
        <w:t xml:space="preserve">6. Рекомендации: с чего начать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ШАГ 1</w:t>
      </w:r>
      <w:r>
        <w:rPr>
          <w:rFonts w:ascii="Calibri" w:eastAsia="Microsoft YaHei"/>
          <w:color w:val="1F2937"/>
          <w:sz w:val="14"/>
          <w:szCs w:val="14"/>
        </w:rPr>
        <w:t xml:space="preserve"> — Запустить 2 линейки ПЕРВОЙ очереди: универсальная алкидная RAL (10-15 цветов) + грунт-эмаль алкидная (3-5 цветов). Фасовка 400 и 520 мл. Через контрактное производство — без своей линии.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ШАГ 2</w:t>
      </w:r>
      <w:r>
        <w:rPr>
          <w:rFonts w:ascii="Calibri" w:eastAsia="Microsoft YaHei"/>
          <w:color w:val="1F2937"/>
          <w:sz w:val="14"/>
          <w:szCs w:val="14"/>
        </w:rPr>
        <w:t xml:space="preserve"> — Добавить 5-7 SKU акриловой по RAL (матовый) — для трендового сегмента. Цвета — по таблице выше: приоритет 1 (5 базовых) + приоритет 2 (2-3 расширенных).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ШАГ 3</w:t>
      </w:r>
      <w:r>
        <w:rPr>
          <w:rFonts w:ascii="Calibri" w:eastAsia="Microsoft YaHei"/>
          <w:color w:val="1F2937"/>
          <w:sz w:val="14"/>
          <w:szCs w:val="14"/>
        </w:rPr>
        <w:t xml:space="preserve"> — Каналы: DIY (Лемана, Петрович, Максидом) + e-commerce (OZON, WB) + авто-сегмент (через дистрибьюторов TITAN). Бренд — расширение TITAN или NewTon?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БЫСТРЫЕ ПРОДАЖИ</w:t>
      </w:r>
      <w:r>
        <w:rPr>
          <w:rFonts w:ascii="Calibri" w:eastAsia="Microsoft YaHei"/>
          <w:color w:val="1F2937"/>
          <w:sz w:val="14"/>
          <w:szCs w:val="14"/>
        </w:rPr>
        <w:t xml:space="preserve"> — Грунт-эмаль алкидная (синергия с TITAN) — самый быстрый старт. Универсальная алкидная RAL глянец — самый большой объём DIY.</w:t>
      </w:r>
    </w:p>
    <w:p>
      <w:pPr>
        <w:spacing w:after="15" w:line="190"/>
        <w:ind w:left="200" w:hanging="150"/>
      </w:pPr>
      <w:r>
        <w:rPr>
          <w:rFonts w:ascii="Calibri" w:eastAsia="Microsoft YaHei"/>
          <w:b/>
          <w:bCs/>
          <w:color w:val="D4875A"/>
          <w:sz w:val="14"/>
          <w:szCs w:val="14"/>
        </w:rPr>
        <w:t xml:space="preserve">▸ </w:t>
      </w:r>
      <w:r>
        <w:rPr>
          <w:rFonts w:ascii="Calibri" w:eastAsia="Microsoft YaHei"/>
          <w:b/>
          <w:bCs/>
          <w:color w:val="1A2330"/>
          <w:sz w:val="14"/>
          <w:szCs w:val="14"/>
        </w:rPr>
        <w:t xml:space="preserve">МАКСИМАЛЬНАЯ МАРЖА</w:t>
      </w:r>
      <w:r>
        <w:rPr>
          <w:rFonts w:ascii="Calibri" w:eastAsia="Microsoft YaHei"/>
          <w:color w:val="1F2937"/>
          <w:sz w:val="14"/>
          <w:szCs w:val="14"/>
        </w:rPr>
        <w:t xml:space="preserve"> — Грунт-эмаль алкидная (45-55%) + акриловая премиум по RAL (35-45%).</w:t>
      </w:r>
    </w:p>
    <w:p>
      <w:pPr>
        <w:spacing w:before="80"/>
        <w:jc w:val="center"/>
      </w:pPr>
      <w:r>
        <w:rPr>
          <w:rFonts w:ascii="Calibri" w:eastAsia="Microsoft YaHei"/>
          <w:i/>
          <w:iCs/>
          <w:color w:val="6B7280"/>
          <w:sz w:val="14"/>
          <w:szCs w:val="14"/>
        </w:rPr>
        <w:t xml:space="preserve">ЗАО «Эмпилс» · Аналитический отдел · 2026</w:t>
      </w:r>
    </w:p>
    <w:sectPr>
      <w:pgSz w:w="11906" w:h="16838" w:orient="portrait"/>
      <w:pgMar w:top="500" w:right="5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16"/>
        <w:szCs w:val="16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выхода на рынок аэрозольных ЛКМ</dc:title>
  <dc:creator>ЗАО Эмпилс</dc:creator>
  <cp:lastModifiedBy>Un-named</cp:lastModifiedBy>
  <cp:revision>1</cp:revision>
  <dcterms:created xsi:type="dcterms:W3CDTF">2026-08-20T06:26:55.309Z</dcterms:created>
  <dcterms:modified xsi:type="dcterms:W3CDTF">2026-08-20T06:26:55.309Z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