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</w:tcPr>
          <w:p>
            <w:pPr>
              <w:spacing w:before="2400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D4875A"/>
                <w:spacing w:val="40"/>
                <w:sz w:val="18"/>
                <w:szCs w:val="18"/>
              </w:rPr>
              <w:t xml:space="preserve">P A R T N E R   T R A I N I N G   /   N I L   D E M O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Практическая встреча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в НИЛ Эмпилс: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концепция и цели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Демонстрация водно-дисперсионных красок для дистрибьютора, открывающего розничную сеть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Продуктовый фокус: 4 SKU интерьерных моющихся красок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Состав: 2 сотрудника партнёра + специалист Эмпилс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Формат: практическая демонстрация в лаборатории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Документ: цели · задачи · концепция · программа</w:t>
            </w:r>
          </w:p>
          <w:p>
            <w:pPr>
              <w:spacing w:before="2200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ЗАО Эмпилс  ·  Ростов-на-Дону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1. Исходный контекст и предпосылки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Действующий дистрибьютор Эмпилс, исторически работающий исключительно с лакокрасочными материалами на органической основе, инициировал открытие собственной розничной сети с ассортиментом водно-дисперсионных красок. Партнёр планирует закупать у Эмпилс четыре SKU в категории «интерьерная моющаяся краска»: AvantGarde, NewTone, Ореол и Ореол Дисконт. Это решение открывает для Эмпилс новый канал сбыта в розничном сегменте и одновременно требует от партнёра перестройки операционной модели — от знания свойств алкидных эмалей к пониманию специфики водных систем.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Ключевая сложность перехода: команда партнёра не имеет практического опыта продаж водно-дисперсионных красок. Менеджеры и продавцы не смогут уверенно консультровать розничного клиента по свойствам, расходу, подготовке поверхности и эксплуатации моющихся интерьерных красок. Без целенаправленного обучения запуск розничной сети рискует обернуться возвратами, отрицательными отзывами и потерей доверия к брендам Эмпилс.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Для решения этой задачи предлагается формат практической встречи в научно-исследовательской лаборатории (НИЛ) Эмпилс. Два сотрудника партнёра посещают производство, где специалист Эмпилс в реальных условиях демонстрирует свойства четырёх SKU на подготовленных образцах. Концепция встречи — «обучение через видимое доказательство»: партнёр видит свойства краски своими глазами, а не из презентации, и получает готовые аргументы для розничных продаж.</w:t>
      </w:r>
    </w:p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2. Цели встречи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Цели сформулированы по принципу SMART: конкретные, измеримые, достижимые в рамках одного рабочего дня, релевантные бизнес-задаче партнёра и ограниченные по времени. Достижение целей оценивается по итогам встречи через устную обратную связь от сотрудников партнёра и согласование следующих шагов.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2.1. Главная цель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Подготовить команду партнёра к самостоятельной розничной продаже четырёх SKU водно-дисперсионных интерьерных моющихся красок Эмпилс — AvantGarde, NewTone, Ореол, Ореол Дисконт — с уверенным знанием ключевых потребительских свойств и аргументов для конечного покупателя.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2.2. Сопутствующие цели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Передать прикладные знания</w:t>
      </w:r>
      <w:r>
        <w:rPr>
          <w:rFonts w:ascii="Calibri" w:eastAsia="Microsoft YaHei"/>
          <w:color w:val="1F2937"/>
          <w:sz w:val="24"/>
          <w:szCs w:val="24"/>
        </w:rPr>
        <w:t xml:space="preserve"> — об особенностях водно-дисперсионных красок в сравнении с органическими эмалями: механика плёнкообразования, требования к поверхности, время высыхания, условия эксплуатации, расход на квадратный метр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Доказать ключевые свойства визуально</w:t>
      </w:r>
      <w:r>
        <w:rPr>
          <w:rFonts w:ascii="Calibri" w:eastAsia="Microsoft YaHei"/>
          <w:color w:val="1F2937"/>
          <w:sz w:val="24"/>
          <w:szCs w:val="24"/>
        </w:rPr>
        <w:t xml:space="preserve"> — укрывистость на контрастной полосе, моющая способность после высыхания, сравнение четырёх SKU между собой в одинаковых условиях — партнёр видит результат, а не верит на слово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Сформировать продажные аргументы</w:t>
      </w:r>
      <w:r>
        <w:rPr>
          <w:rFonts w:ascii="Calibri" w:eastAsia="Microsoft YaHei"/>
          <w:color w:val="1F2937"/>
          <w:sz w:val="24"/>
          <w:szCs w:val="24"/>
        </w:rPr>
        <w:t xml:space="preserve"> — по каждому SKU: для какого клиента, для какого помещения, при каком бюджете, чем обосновать более высокую цену AvantGarde по сравнению с Ореол Дисконт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Получить обратную связь</w:t>
      </w:r>
      <w:r>
        <w:rPr>
          <w:rFonts w:ascii="Calibri" w:eastAsia="Microsoft YaHei"/>
          <w:color w:val="1F2937"/>
          <w:sz w:val="24"/>
          <w:szCs w:val="24"/>
        </w:rPr>
        <w:t xml:space="preserve"> — от партнёра по ассортименту, ценам, упаковке, маркетинговым материалам и наметить следующие шаги по запуску розничной сети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Закрепить отношения</w:t>
      </w:r>
      <w:r>
        <w:rPr>
          <w:rFonts w:ascii="Calibri" w:eastAsia="Microsoft YaHei"/>
          <w:color w:val="1F2937"/>
          <w:sz w:val="24"/>
          <w:szCs w:val="24"/>
        </w:rPr>
        <w:t xml:space="preserve"> — через личный контакт со специалистом НИЛ и менеджером Эмпилс — партнёр видит производство, лабораторию, уровень компетенций команды</w:t>
      </w:r>
    </w:p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3. Задачи встречи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Задачи — это конкретные шаги, выполняемые в ходе встречи для достижения поставленных целей. Каждая задача имеет ответственного, ожидаемый результат и привязку к этапу программы (см. раздел 5). Задачи сгруппированы по трём блокам: подготовительный, демонстрационный, переговорный.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3.1. Подготовительные задачи (до встречи)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Согласовать состав делегации</w:t>
      </w:r>
      <w:r>
        <w:rPr>
          <w:rFonts w:ascii="Calibri" w:eastAsia="Microsoft YaHei"/>
          <w:color w:val="1F2937"/>
          <w:sz w:val="24"/>
          <w:szCs w:val="24"/>
        </w:rPr>
        <w:t xml:space="preserve"> — от партнёра — 2 человека (рекомендуется: руководитель направления ЛКМ + старший продавец/технолог); от Эмпилс — менеджер по работе с партнёрами + специалист НИЛ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Подготовить образцы</w:t>
      </w:r>
      <w:r>
        <w:rPr>
          <w:rFonts w:ascii="Calibri" w:eastAsia="Microsoft YaHei"/>
          <w:color w:val="1F2937"/>
          <w:sz w:val="24"/>
          <w:szCs w:val="24"/>
        </w:rPr>
        <w:t xml:space="preserve"> — 4 панели из шпаклёванного гипсокартона размером не менее 60×40 см с контрастной полосой чёрно-белой окраски для теста укрывистости по каждому SKU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Подготовить материалы и инструмент</w:t>
      </w:r>
      <w:r>
        <w:rPr>
          <w:rFonts w:ascii="Calibri" w:eastAsia="Microsoft YaHei"/>
          <w:color w:val="1F2937"/>
          <w:sz w:val="24"/>
          <w:szCs w:val="24"/>
        </w:rPr>
        <w:t xml:space="preserve"> — банки краски 4 SKU одной партии, валики и кисти, лотки, малярный скотч, средства защиты, расходные материалы для мойки образцов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Подготовить раздаточные материалы</w:t>
      </w:r>
      <w:r>
        <w:rPr>
          <w:rFonts w:ascii="Calibri" w:eastAsia="Microsoft YaHei"/>
          <w:color w:val="1F2937"/>
          <w:sz w:val="24"/>
          <w:szCs w:val="24"/>
        </w:rPr>
        <w:t xml:space="preserve"> — листовка по 4 SKU с расходом, ценой, областью применения; чек-лист «аргументы для розничной продажи»; таблица сравнения с органическими эмалями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Согласовать логистику</w:t>
      </w:r>
      <w:r>
        <w:rPr>
          <w:rFonts w:ascii="Calibri" w:eastAsia="Microsoft YaHei"/>
          <w:color w:val="1F2937"/>
          <w:sz w:val="24"/>
          <w:szCs w:val="24"/>
        </w:rPr>
        <w:t xml:space="preserve"> — дата, время, транспорт, парковка, пропуск на территорию предприятия, обед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3.2. Демонстрационные задачи (в ходе встречи)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Провести теоретический блок</w:t>
      </w:r>
      <w:r>
        <w:rPr>
          <w:rFonts w:ascii="Calibri" w:eastAsia="Microsoft YaHei"/>
          <w:color w:val="1F2937"/>
          <w:sz w:val="24"/>
          <w:szCs w:val="24"/>
        </w:rPr>
        <w:t xml:space="preserve"> — 30 минут: обзор 4 SKU, ценовое позиционирование, отличия водных систем от органических, типичные ошибки при нанесении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Демонстрация укрывистости</w:t>
      </w:r>
      <w:r>
        <w:rPr>
          <w:rFonts w:ascii="Calibri" w:eastAsia="Microsoft YaHei"/>
          <w:color w:val="1F2937"/>
          <w:sz w:val="24"/>
          <w:szCs w:val="24"/>
        </w:rPr>
        <w:t xml:space="preserve"> — специалист наносит каждый SKU на контрастную полосу одним слоем при свидетелях; партнёр наблюдает процесс и фиксирует визуальный результат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Сравнительный анализ</w:t>
      </w:r>
      <w:r>
        <w:rPr>
          <w:rFonts w:ascii="Calibri" w:eastAsia="Microsoft YaHei"/>
          <w:color w:val="1F2937"/>
          <w:sz w:val="24"/>
          <w:szCs w:val="24"/>
        </w:rPr>
        <w:t xml:space="preserve"> — партнёр сравнивает 4 образца между собой: укрывистость, внешний вид плёнки, плотность, глянец/матовость; специалист комментирует различия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Тест моющих свойств</w:t>
      </w:r>
      <w:r>
        <w:rPr>
          <w:rFonts w:ascii="Calibri" w:eastAsia="Microsoft YaHei"/>
          <w:color w:val="1F2937"/>
          <w:sz w:val="24"/>
          <w:szCs w:val="24"/>
        </w:rPr>
        <w:t xml:space="preserve"> — после сушки образцов (ускоренной) провести контрольную мойку жёсткой губкой с моющим средством — продемонстрировать устойчивость плёнки к истиранию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Практика партнёра</w:t>
      </w:r>
      <w:r>
        <w:rPr>
          <w:rFonts w:ascii="Calibri" w:eastAsia="Microsoft YaHei"/>
          <w:color w:val="1F2937"/>
          <w:sz w:val="24"/>
          <w:szCs w:val="24"/>
        </w:rPr>
        <w:t xml:space="preserve"> — сотрудники партнёра самостоятельно наносят краску под контролем специалиста — учатся правильной технике, задают вопросы, чувствуют материал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Q&amp;A сессия</w:t>
      </w:r>
      <w:r>
        <w:rPr>
          <w:rFonts w:ascii="Calibri" w:eastAsia="Microsoft YaHei"/>
          <w:color w:val="1F2937"/>
          <w:sz w:val="24"/>
          <w:szCs w:val="24"/>
        </w:rPr>
        <w:t xml:space="preserve"> — открытые вопросы от партнёра по любым аспектам: от подбора цвета до гарантийных обязательств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3.3. Переговорные задачи (завершение встречи)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Согласовать ассортиментный план</w:t>
      </w:r>
      <w:r>
        <w:rPr>
          <w:rFonts w:ascii="Calibri" w:eastAsia="Microsoft YaHei"/>
          <w:color w:val="1F2937"/>
          <w:sz w:val="24"/>
          <w:szCs w:val="24"/>
        </w:rPr>
        <w:t xml:space="preserve"> — какие SKU из четырёх включаются в стартовую матрицу розничной сети, какие добавляются позже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Обсудить условия поставок</w:t>
      </w:r>
      <w:r>
        <w:rPr>
          <w:rFonts w:ascii="Calibri" w:eastAsia="Microsoft YaHei"/>
          <w:color w:val="1F2937"/>
          <w:sz w:val="24"/>
          <w:szCs w:val="24"/>
        </w:rPr>
        <w:t xml:space="preserve"> — минимальная партия, отсрочка, логистика, резервный запас, сроки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Спланировать следующую встречу</w:t>
      </w:r>
      <w:r>
        <w:rPr>
          <w:rFonts w:ascii="Calibri" w:eastAsia="Microsoft YaHei"/>
          <w:color w:val="1F2937"/>
          <w:sz w:val="24"/>
          <w:szCs w:val="24"/>
        </w:rPr>
        <w:t xml:space="preserve"> — обучение продавцов розничных точек, установка колеровочного оборудования, поставка POS-материалов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Зафиксировать договорённости</w:t>
      </w:r>
      <w:r>
        <w:rPr>
          <w:rFonts w:ascii="Calibri" w:eastAsia="Microsoft YaHei"/>
          <w:color w:val="1F2937"/>
          <w:sz w:val="24"/>
          <w:szCs w:val="24"/>
        </w:rPr>
        <w:t xml:space="preserve"> — протокол встречи с ответственными и сроками — отправляется партнёру в течение 24 часов</w:t>
      </w:r>
    </w:p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4. Концепция встречи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4.1. Принципы построения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Концепция встречи строится на принципе «обучение через видимое доказательство». Партнёр не слушает лекцию о свойствах краски — он видит, как краска укрывает контрастную полосу одним слоем, как плёнка выдерживает мойку, как четыре SKU визуально отличаются между собой. Это превращает абстрактные маркетинговые обещания в конкретный визуальный опыт, который сотрудник партнёра сможет воспроизвести в разговоре с розничным клиентом.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Второй принцип — «практика важнее теории». Из семи часов программы на теорию отводится не более 60 минут, остальное время — демонстрации, тесты, самостоятельная работа партнёра с материалом. Сотрудник, который сам нанёс краску валиком на panel, в десять раз увереннее расскажет о ней клиенту, чем сотрудник, прочитавший брошюру.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Третий принцип — «сравнение, а не утверждение». Все четыре SKU демонстрируются параллельно на одинаковых образцах в одинаковых условиях. Партнёр сам видит, чем AvantGarde отличается от Ореол Дисконт — не из прайс-листа, а из поведения краски. Это снимает возражение «почему так дорого» и даёт продавцу готовый аргумент для каждого ценового сегмента.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4.2. Продуктовый фокус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В фокусе встречи — четыре SKU водно-дисперсионных интерьерных моющихся красок. Все четыре относятся к одной категории, но позиционированы в разных ценовых сегментах — от премиума до экономики. Это позволяет партнёру выстроить продуктовую матрицу под разные сегменты розничных клиентов.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Бренд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Ценовой сегмент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AvantGarde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Интерьерная моющаяся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Премиум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Гибридные технологии для demanding-объектов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NewTone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Интерьерная моющаяся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Средний +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Передовые технологии, современный дизайн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Ореол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Интерьерная моющаяся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Средний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Надёжная краска для массового ремонта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Ореол Дисконт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Интерьерная моющаяся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Эконом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Доступная цена для DIY-сегмента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Ключевое свойство категории «интерьерная моющаяся» — устойчивость сухой плёнки к влажной уборке с применением бытовых моющих средств. Это свойство выносится в заголовок всех продажных аргументов и становится центральной осью демонстрации: партнёр видит, что все четыре SKU выдерживают мойку, но различаются по укрывистости, внешнему виду и плотности плёнки.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4.3. Ключевое свойство для демонстрации: укрывистость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Укрывистость — способность краски за один слой полностью скрыть цвет подложки — выбрана центральным демонстрационным свойством по трём причинам. Во-первых, это свойство визуально очевидно: партнёр видит результат сразу после нанесения, без ожидания сушки. Во-вторых, оно напрямую влияет на расход материала и, следовательно, на экономику покраски для конечного клиента. В-третьих, разница между SKU по укрывистости — это главный аргумент для обоснования более высокой цены премиальных продуктов.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Для теста укрывистости используется стандартизированная панель: лист шпаклёванного гипсокартона с контрастной полосой чёрно-белой окраски посередине. Специалист наносит краску одним слоем при свидетелях, после чего партнёр визуально оценивает степень укрывания контрастной полосы. Четыре SKU наносятся на одну панель в идентичных условиях — это обеспечивает корректность сравнения.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4.4. Формат и логистика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Состав участников</w:t>
      </w:r>
      <w:r>
        <w:rPr>
          <w:rFonts w:ascii="Calibri" w:eastAsia="Microsoft YaHei"/>
          <w:color w:val="1F2937"/>
          <w:sz w:val="24"/>
          <w:szCs w:val="24"/>
        </w:rPr>
        <w:t xml:space="preserve"> — 2 сотрудника от партнёра (руководитель направления + старший продавец/технолог); 2 представителя Эмпилс (менеджер по работе с партнёрами + специалист НИЛ)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Место проведения</w:t>
      </w:r>
      <w:r>
        <w:rPr>
          <w:rFonts w:ascii="Calibri" w:eastAsia="Microsoft YaHei"/>
          <w:color w:val="1F2937"/>
          <w:sz w:val="24"/>
          <w:szCs w:val="24"/>
        </w:rPr>
        <w:t xml:space="preserve"> — научно-исследовательская лаборатория ЗАО Эмпилс, г. Ростов-на-Дону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Длительность</w:t>
      </w:r>
      <w:r>
        <w:rPr>
          <w:rFonts w:ascii="Calibri" w:eastAsia="Microsoft YaHei"/>
          <w:color w:val="1F2937"/>
          <w:sz w:val="24"/>
          <w:szCs w:val="24"/>
        </w:rPr>
        <w:t xml:space="preserve"> — 7 часов (10:00–17:00) с перерывом на обед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Язык</w:t>
      </w:r>
      <w:r>
        <w:rPr>
          <w:rFonts w:ascii="Calibri" w:eastAsia="Microsoft YaHei"/>
          <w:color w:val="1F2937"/>
          <w:sz w:val="24"/>
          <w:szCs w:val="24"/>
        </w:rPr>
        <w:t xml:space="preserve"> — русский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Стоимость для партнёра</w:t>
      </w:r>
      <w:r>
        <w:rPr>
          <w:rFonts w:ascii="Calibri" w:eastAsia="Microsoft YaHei"/>
          <w:color w:val="1F2937"/>
          <w:sz w:val="24"/>
          <w:szCs w:val="24"/>
        </w:rPr>
        <w:t xml:space="preserve"> — бесплатно (Эмпилс покрывает материалы, лабораторное время, обед); партнёр оплачивает свой проезд и проживание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Результат</w:t>
      </w:r>
      <w:r>
        <w:rPr>
          <w:rFonts w:ascii="Calibri" w:eastAsia="Microsoft YaHei"/>
          <w:color w:val="1F2937"/>
          <w:sz w:val="24"/>
          <w:szCs w:val="24"/>
        </w:rPr>
        <w:t xml:space="preserve"> — протокол встречи с согласованными следующими шагами + комплект раздаточных материалов</w:t>
      </w:r>
    </w:p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5. Программа встречи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Программа построена по принципу «от теории — к демонстрации — к практике — к договорённостям». Первая треть дня — теоретический фундамент, вторая треть — наблюдение за работой специалиста, третья треть — самостоятельная работа партнёра и подведение итогов.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Деятельность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10:00–10:30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Вводная часть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Знакомство, кофе, цели дня, регламент, техника безопасности в НИЛ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Менеджер Эмпилс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10:30–11:30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Теоретический блок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Обзор 4 SKU, позиционирование по сегментам, отличия от органики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Специалист НИЛ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11:30–13:00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Демонстрация укрывистости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Подготовка контрастной полосы, нанесение 4 SKU, наблюдение результата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Специалист НИЛ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13:00–14:00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Обед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14:00–15:30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Тест моющих свойств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Контрольная мойка высохших образцов через 24 часа (ускоренная сушка)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Специалист НИЛ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15:30–16:30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Практика партнёра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Самостоятельное нанесение под контролем специалиста, вопросы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Сотрудники партнёра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1A2330"/>
                <w:sz w:val="21"/>
                <w:szCs w:val="21"/>
              </w:rPr>
              <w:t xml:space="preserve">16:30–17:00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Подведение итогов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Резюме преимуществ, согласование следующих шагов, обратная связь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1"/>
                <w:szCs w:val="21"/>
              </w:rPr>
              <w:t xml:space="preserve">Менеджер Эмпилс</w:t>
            </w:r>
          </w:p>
        </w:tc>
      </w:tr>
    </w:tbl>
    <w:p>
      <w:pPr>
        <w:pStyle w:val="Heading1"/>
        <w:spacing w:after="180" w:before="360" w:line="312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6. Ожидаемые результаты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6.1. Для партнёра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Знания</w:t>
      </w:r>
      <w:r>
        <w:rPr>
          <w:rFonts w:ascii="Calibri" w:eastAsia="Microsoft YaHei"/>
          <w:color w:val="1F2937"/>
          <w:sz w:val="24"/>
          <w:szCs w:val="24"/>
        </w:rPr>
        <w:t xml:space="preserve"> — сотрудники партнёра смогут самостоятельно консультировать розничного клиента по 4 SKU, подбирать продукт под задачу и бюджет, отвечать на типичные возражения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Материалы</w:t>
      </w:r>
      <w:r>
        <w:rPr>
          <w:rFonts w:ascii="Calibri" w:eastAsia="Microsoft YaHei"/>
          <w:color w:val="1F2937"/>
          <w:sz w:val="24"/>
          <w:szCs w:val="24"/>
        </w:rPr>
        <w:t xml:space="preserve"> — раздаточные материалы по 4 SKU, сравнительная таблица, чек-лист продажных аргументов — всё готово к использованию в розничной точке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Решение</w:t>
      </w:r>
      <w:r>
        <w:rPr>
          <w:rFonts w:ascii="Calibri" w:eastAsia="Microsoft YaHei"/>
          <w:color w:val="1F2937"/>
          <w:sz w:val="24"/>
          <w:szCs w:val="24"/>
        </w:rPr>
        <w:t xml:space="preserve"> — согласованный ассортиментный план стартовой матрицы розничной сети, понимание ценовых позиций и целевых сегментов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Контакты</w:t>
      </w:r>
      <w:r>
        <w:rPr>
          <w:rFonts w:ascii="Calibri" w:eastAsia="Microsoft YaHei"/>
          <w:color w:val="1F2937"/>
          <w:sz w:val="24"/>
          <w:szCs w:val="24"/>
        </w:rPr>
        <w:t xml:space="preserve"> — прямые контакты специалиста НИЛ и менеджера Эмпилс для оперативных консультаций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6.2. Для Эмпилс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Запуск нового канала</w:t>
      </w:r>
      <w:r>
        <w:rPr>
          <w:rFonts w:ascii="Calibri" w:eastAsia="Microsoft YaHei"/>
          <w:color w:val="1F2937"/>
          <w:sz w:val="24"/>
          <w:szCs w:val="24"/>
        </w:rPr>
        <w:t xml:space="preserve"> — розничная сеть партнёра открывается с ассортиментом 4 SKU водно-дисперсионных красок Эмпилс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Расширение категории</w:t>
      </w:r>
      <w:r>
        <w:rPr>
          <w:rFonts w:ascii="Calibri" w:eastAsia="Microsoft YaHei"/>
          <w:color w:val="1F2937"/>
          <w:sz w:val="24"/>
          <w:szCs w:val="24"/>
        </w:rPr>
        <w:t xml:space="preserve"> — партнёр, ранее работавший только по органике, начинает закупать водно-дисперсионные краски — рост категории в обороте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Обратная связь</w:t>
      </w:r>
      <w:r>
        <w:rPr>
          <w:rFonts w:ascii="Calibri" w:eastAsia="Microsoft YaHei"/>
          <w:color w:val="1F2937"/>
          <w:sz w:val="24"/>
          <w:szCs w:val="24"/>
        </w:rPr>
        <w:t xml:space="preserve"> — прямая обратная связь от партнёра по продукту, упаковке, ценам, маркетинговым материалам — основа для улучшений</w:t>
      </w:r>
    </w:p>
    <w:p>
      <w:pPr>
        <w:spacing w:after="80" w:line="312"/>
        <w:ind w:left="360" w:hanging="240"/>
        <w:jc w:val="left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▸ </w:t>
      </w: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Эталонный кейс</w:t>
      </w:r>
      <w:r>
        <w:rPr>
          <w:rFonts w:ascii="Calibri" w:eastAsia="Microsoft YaHei"/>
          <w:color w:val="1F2937"/>
          <w:sz w:val="24"/>
          <w:szCs w:val="24"/>
        </w:rPr>
        <w:t xml:space="preserve"> — успешный сценарий онбординга органического дистрибьютора в водный сегмент — методологию можно масштабировать на других партнёров</w:t>
      </w:r>
    </w:p>
    <w:p>
      <w:pPr>
        <w:pStyle w:val="Heading2"/>
        <w:spacing w:after="140" w:before="280" w:line="312"/>
      </w:pPr>
      <w:r>
        <w:rPr>
          <w:rFonts w:ascii="Calibri" w:eastAsia="SimHei"/>
          <w:b/>
          <w:bCs/>
          <w:color w:val="1A2330"/>
          <w:sz w:val="26"/>
          <w:szCs w:val="26"/>
        </w:rPr>
        <w:t xml:space="preserve">6.3. Критерии успеха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Встреча считается успешной при одновременном выполнении следующих условий: оба сотрудника партнёра присутствовали на всей программе; они самостоятельно нанесли краску на образцы под контролем специалиста; они могут устно перечислить ключевые отличия четырёх SKU; согласовано время следующей встречи (обучение продавцов розничных точек); протокол встречи с договорённостями отправлен партнёру в течение 24 часов.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Эмпилс · Практическая встреча в НИЛ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встреча в НИЛ Эмпилс — концепция и цели</dc:title>
  <dc:creator>ЗАО Эмпилс</dc:creator>
  <dc:description>Концепция, цели и задачи практической встречи для дистрибьютора, открывающего розничную сеть с водно-дисперсионными красками</dc:description>
  <cp:lastModifiedBy>Un-named</cp:lastModifiedBy>
  <cp:revision>1</cp:revision>
  <dcterms:created xsi:type="dcterms:W3CDTF">2026-08-14T05:27:29.554Z</dcterms:created>
  <dcterms:modified xsi:type="dcterms:W3CDTF">2026-08-14T05:27:29.554Z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