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eastAsia="Microsoft YaHei"/>
          <w:b/>
          <w:bCs/>
          <w:color w:val="D4875A"/>
          <w:spacing w:val="30"/>
          <w:sz w:val="16"/>
          <w:szCs w:val="16"/>
        </w:rPr>
        <w:t xml:space="preserve">АНАЛИЗ · ЭМПИЛС · СЕНТЯБРЬ 2026</w:t>
      </w:r>
    </w:p>
    <w:p>
      <w:pPr>
        <w:pStyle w:val="Heading1"/>
        <w:spacing w:after="120" w:before="24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Потребление ЛКМ на душу населения — мировой контекст</w:t>
      </w:r>
    </w:p>
    <w:p>
      <w:pPr>
        <w:spacing w:after="120" w:line="28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Краткая справка для оценки потенциала экспортных рынков Эмпилс. Базовый показатель — кг ЛКМ на 1 жителя в год. Источники: European Coatings, Coatings World, Kusumgar, Mordor Intelligence (2021-2026).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80" w:before="80"/>
      </w:pPr>
      <w:r>
        <w:rPr>
          <w:rFonts w:ascii="Calibri" w:eastAsia="Microsoft YaHei"/>
          <w:b/>
          <w:bCs/>
          <w:color w:val="1A2330"/>
          <w:sz w:val="20"/>
          <w:szCs w:val="20"/>
        </w:rPr>
        <w:t xml:space="preserve">Мировой рейтинг потребления ЛКМ (кг/чел, год)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Регион / Страна</w:t>
            </w:r>
          </w:p>
        </w:tc>
        <w:tc>
          <w:tcPr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кг/чел</w:t>
            </w:r>
          </w:p>
        </w:tc>
        <w:tc>
          <w:tcPr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🇺🇸 США (всего)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≈ 22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Абсолютный лидер — культура DIY, крупные дома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🇩🇪 Германия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≈ 21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Европейский лидер — сильная промышленность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🇯🇵 Япония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11,5–14,7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Самый высокий в Азии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🌍 МИРОВОЕ СРЕДНЕЕ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13–15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Базовый бенчмарк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🇷🇺 Россия (2014)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10,3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Старые данные — до стагнации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🇺🇸 США (архитектурные)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10,4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Только декоративные ЛКМ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🇷🇺 Россия (2024)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8,1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Падение -21% за 10 лет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🇨🇦 Канада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7,8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Близко к ЕС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🇪🇺 ЕС (среднее)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7,2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Зрелый европейский рынок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🇨🇳 Китай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6,4–15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Разные оценки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🇰🇿 Казахстан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7,0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Текущий рынок Эмпилс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🇦🇿 Азербайджан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4,6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Самый недонасыщенный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🇹🇲 Туркменистан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4,7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Малый рынок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/>
                <w:bCs/>
                <w:color w:val="1F2937"/>
                <w:sz w:val="18"/>
                <w:szCs w:val="18"/>
              </w:rPr>
              <w:t xml:space="preserve">🇮🇳 Индия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Consolas" w:eastAsia="Microsoft YaHei"/>
                <w:b/>
                <w:bCs/>
                <w:color w:val="D4875A"/>
                <w:sz w:val="18"/>
                <w:szCs w:val="18"/>
              </w:rPr>
              <w:t xml:space="preserve">4–5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18"/>
                <w:szCs w:val="18"/>
              </w:rPr>
              <w:t xml:space="preserve">Низший среди крупных рынков</w:t>
            </w:r>
          </w:p>
        </w:tc>
      </w:tr>
    </w:tbl>
    <w:p>
      <w:pPr>
        <w:spacing w:before="80"/>
      </w:pPr>
      <w:r>
        <w:rPr>
          <w:rFonts w:ascii="Calibri" w:eastAsia="Microsoft YaHei"/>
          <w:i/>
          <w:iCs/>
          <w:color w:val="6B7280"/>
          <w:sz w:val="16"/>
          <w:szCs w:val="16"/>
        </w:rPr>
        <w:t xml:space="preserve">Данные для РФ 2024 г. — расчёт из файлов Эмпилс (1 181 тыс. т / 146 млн чел).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20" w:before="24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Ключевые выводы</w:t>
      </w:r>
    </w:p>
    <w:p>
      <w:pPr>
        <w:spacing w:after="8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Россия (8,1 кг) ниже среднемирового (13–15 кг)</w:t>
      </w:r>
      <w:r>
        <w:rPr>
          <w:rFonts w:ascii="Calibri" w:eastAsia="Microsoft YaHei"/>
          <w:color w:val="C62828"/>
          <w:sz w:val="22"/>
          <w:szCs w:val="22"/>
        </w:rPr>
        <w:t xml:space="preserve"> — рынок недонасыщен на 40–45%. Падение -21% за 10 лет (с 10,3 кг в 2014).</w:t>
      </w:r>
    </w:p>
    <w:p>
      <w:pPr>
        <w:spacing w:after="8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США (22 кг) — абсолютный лидер</w:t>
      </w:r>
      <w:r>
        <w:rPr>
          <w:rFonts w:ascii="Calibri" w:eastAsia="Microsoft YaHei"/>
          <w:color w:val="1F2937"/>
          <w:sz w:val="22"/>
          <w:szCs w:val="22"/>
        </w:rPr>
        <w:t xml:space="preserve"> — за счёт культуры DIY (Home Depot, Lowe's), крупных домов, сильной промышленности.</w:t>
      </w:r>
    </w:p>
    <w:p>
      <w:pPr>
        <w:spacing w:after="8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Германия (21 кг) — европейский лидер</w:t>
      </w:r>
      <w:r>
        <w:rPr>
          <w:rFonts w:ascii="Calibri" w:eastAsia="Microsoft YaHei"/>
          <w:color w:val="1F2937"/>
          <w:sz w:val="22"/>
          <w:szCs w:val="22"/>
        </w:rPr>
        <w:t xml:space="preserve"> — сильная промышленность (Mercedes, BMW, BASF), традиция качества и ремонта.</w:t>
      </w:r>
    </w:p>
    <w:p>
      <w:pPr>
        <w:spacing w:after="8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Текущие экспортные рынки Эмпилс — самые недонасыщенные в мире</w:t>
      </w:r>
      <w:r>
        <w:rPr>
          <w:rFonts w:ascii="Calibri" w:eastAsia="Microsoft YaHei"/>
          <w:color w:val="1F2937"/>
          <w:sz w:val="22"/>
          <w:szCs w:val="22"/>
        </w:rPr>
        <w:t xml:space="preserve"> — Азербайджан 4,6 кг, Туркменистан 4,7 кг, Узбекистан 5,2 кг, Таджикистан 9,1 кг.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20" w:before="24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Стратегические возможности для Эмпилс</w:t>
      </w:r>
    </w:p>
    <w:p>
      <w:pPr>
        <w:spacing w:after="120" w:line="280"/>
        <w:jc w:val="left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Внутренний рынок РФ: </w:t>
      </w:r>
      <w:r>
        <w:rPr>
          <w:rFonts w:ascii="Calibri" w:eastAsia="Microsoft YaHei"/>
          <w:b w:val="false"/>
          <w:bCs w:val="false"/>
          <w:color w:val="1F2937"/>
          <w:sz w:val="22"/>
          <w:szCs w:val="22"/>
        </w:rPr>
        <w:t xml:space="preserve">потенциал роста с 8 до 10–12 кг/чел (+25–50%). Драйверы: импортозамещение, рост водных ЛКМ (+3,9% в 2024), сдвиг в премиум (AvantGarde).</w:t>
      </w:r>
    </w:p>
    <w:p>
      <w:pPr>
        <w:spacing w:after="120" w:line="280"/>
        <w:jc w:val="left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Экспортные рынки: </w:t>
      </w:r>
      <w:r>
        <w:rPr>
          <w:rFonts w:ascii="Calibri" w:eastAsia="Microsoft YaHei"/>
          <w:b w:val="false"/>
          <w:bCs w:val="false"/>
          <w:color w:val="1F2937"/>
          <w:sz w:val="22"/>
          <w:szCs w:val="22"/>
        </w:rPr>
        <w:t xml:space="preserve">Азербайджан, Туркменистан, Узбекистан, Таджикистан — рост с 4-5 до 7-8 кг/чел = </w:t>
      </w: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двукратное увеличение рынков</w:t>
      </w:r>
      <w:r>
        <w:rPr>
          <w:rFonts w:ascii="Calibri" w:eastAsia="Microsoft YaHei"/>
          <w:b w:val="false"/>
          <w:bCs w:val="false"/>
          <w:color w:val="1F2937"/>
          <w:sz w:val="22"/>
          <w:szCs w:val="22"/>
        </w:rPr>
        <w:t xml:space="preserve"> без изменения доли Эмпилс. Это стратегическое окно возможностей.</w:t>
      </w:r>
    </w:p>
    <w:p>
      <w:pPr>
        <w:spacing w:after="120" w:line="280"/>
        <w:jc w:val="left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Эталон для сравнения: </w:t>
      </w:r>
      <w:r>
        <w:rPr>
          <w:rFonts w:ascii="Calibri" w:eastAsia="Microsoft YaHei"/>
          <w:b w:val="false"/>
          <w:bCs w:val="false"/>
          <w:color w:val="1F2937"/>
          <w:sz w:val="22"/>
          <w:szCs w:val="22"/>
        </w:rPr>
        <w:t xml:space="preserve">при достижении уровня РФ (8 кг/чел) — рынки Ц.Азии удвоятся. При уровне ЕС (7,2 кг) — growth +50%.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0" w:before="200"/>
        <w:jc w:val="center"/>
      </w:pPr>
      <w:r>
        <w:rPr>
          <w:rFonts w:ascii="Calibri" w:eastAsia="Microsoft YaHei"/>
          <w:i/>
          <w:iCs/>
          <w:color w:val="6B7280"/>
          <w:sz w:val="16"/>
          <w:szCs w:val="16"/>
        </w:rPr>
        <w:t xml:space="preserve">ЗАО «Эмпилс» · Аналитический отдел · 2026</w:t>
      </w:r>
    </w:p>
    <w:sectPr>
      <w:pgSz w:w="11906" w:h="16838" w:orient="portrait"/>
      <w:pgMar w:top="1200" w:right="10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Потребление ЛКМ на душу населения — мировой контекст</dc:title>
  <dc:creator>ЗАО Эмпилс</dc:creator>
  <cp:lastModifiedBy>Un-named</cp:lastModifiedBy>
  <cp:revision>1</cp:revision>
  <dcterms:created xsi:type="dcterms:W3CDTF">2026-08-18T12:18:33.120Z</dcterms:created>
  <dcterms:modified xsi:type="dcterms:W3CDTF">2026-08-18T12:18:33.120Z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