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rPr>
          <w:trHeight w:val="7000" w:hRule="exact"/>
        </w:trPr>
        <w:tc>
          <w:tcPr>
            <w:tcW w:type="pct" w:w="100%"/>
            <w:shd w:fill="2C3E50" w:val="clear"/>
            <w:vAlign w:val="top"/>
          </w:tcPr>
          <w:p>
            <w:pPr>
              <w:spacing w:before="2400"/>
            </w:pPr>
          </w:p>
          <w:p>
            <w:pPr>
              <w:spacing w:after="200" w:line="1100" w:lineRule="atLeast"/>
              <w:ind w:left="80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52"/>
                <w:szCs w:val="52"/>
              </w:rPr>
              <w:t xml:space="preserve">АНАЛИЗ</w:t>
            </w:r>
          </w:p>
          <w:p>
            <w:pPr>
              <w:spacing w:after="100" w:line="900" w:lineRule="atLeast"/>
              <w:ind w:left="800"/>
              <w:jc w:val="left"/>
            </w:pPr>
            <w:r>
              <w:rPr>
                <w:rFonts w:ascii="Calibri" w:eastAsia="SimHei"/>
                <w:b/>
                <w:bCs/>
                <w:color w:val="FFFFFF"/>
                <w:sz w:val="44"/>
                <w:szCs w:val="44"/>
              </w:rPr>
              <w:t xml:space="preserve">ТАБЛИЦЫ КЛИЕНТОВ</w:t>
            </w:r>
          </w:p>
          <w:p>
            <w:pPr>
              <w:pBdr>
                <w:bottom w:val="single" w:color="E67E22" w:sz="12" w:space="1"/>
              </w:pBdr>
              <w:spacing w:after="200" w:before="0"/>
            </w:pPr>
            <w:r>
              <w:rPr>
                <w:sz w:val="8"/>
                <w:szCs w:val="8"/>
              </w:rPr>
              <w:t xml:space="preserve"> </w:t>
            </w:r>
          </w:p>
          <w:p>
            <w:pPr>
              <w:spacing w:after="100" w:before="200" w:line="600" w:lineRule="atLeast"/>
              <w:ind w:left="800"/>
              <w:jc w:val="left"/>
            </w:pPr>
            <w:r>
              <w:rPr>
                <w:rFonts w:ascii="Calibri" w:eastAsia="Microsoft YaHei"/>
                <w:color w:val="E0E0E0"/>
                <w:sz w:val="28"/>
                <w:szCs w:val="28"/>
              </w:rPr>
              <w:t xml:space="preserve">Рекомендации по приоритизации и насыщению данными</w:t>
            </w:r>
          </w:p>
          <w:p>
            <w:pPr>
              <w:spacing w:after="0" w:line="500" w:lineRule="atLeast"/>
              <w:ind w:left="800"/>
              <w:jc w:val="left"/>
            </w:pPr>
            <w:r>
              <w:rPr>
                <w:rFonts w:ascii="Calibri" w:eastAsia="Microsoft YaHei"/>
                <w:color w:val="B0BEC5"/>
                <w:sz w:val="24"/>
                <w:szCs w:val="24"/>
              </w:rPr>
              <w:t xml:space="preserve">Белые пятна + ушедшие клиенты Эмпилс</w:t>
            </w:r>
          </w:p>
        </w:tc>
      </w:tr>
      <w:tr>
        <w:trPr>
          <w:trHeight w:val="9838" w:hRule="exact"/>
        </w:trPr>
        <w:tc>
          <w:tcPr>
            <w:tcW w:type="pct" w:w="100%"/>
            <w:vAlign w:val="bottom"/>
          </w:tcPr>
          <w:p>
            <w:pPr>
              <w:spacing w:after="100"/>
              <w:ind w:left="800"/>
              <w:jc w:val="left"/>
            </w:pPr>
            <w:r>
              <w:rPr>
                <w:rFonts w:ascii="Calibri" w:eastAsia="Microsoft YaHei"/>
                <w:color w:val="607080"/>
                <w:sz w:val="22"/>
                <w:szCs w:val="22"/>
              </w:rPr>
              <w:t xml:space="preserve">Коммерческий анализ и стратегические рекомендации</w:t>
            </w:r>
          </w:p>
          <w:p>
            <w:pPr>
              <w:spacing w:after="600"/>
              <w:ind w:left="800"/>
              <w:jc w:val="left"/>
            </w:pPr>
            <w:r>
              <w:rPr>
                <w:rFonts w:ascii="Calibri" w:eastAsia="Microsoft YaHei"/>
                <w:color w:val="607080"/>
                <w:sz w:val="22"/>
                <w:szCs w:val="22"/>
              </w:rPr>
              <w:t xml:space="preserve">Июнь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300" w:before="600"/>
        <w:jc w:val="center"/>
      </w:pPr>
      <w:r>
        <w:rPr>
          <w:rFonts w:ascii="Calibri" w:eastAsia="SimHei"/>
          <w:b/>
          <w:bCs/>
          <w:color w:val="2C3E50"/>
          <w:sz w:val="32"/>
          <w:szCs w:val="32"/>
        </w:rPr>
        <w:t xml:space="preserve">Содержание</w:t>
      </w:r>
    </w:p>
    <w:sdt>
      <w:sdtPr>
        <w:alias w:val="TOC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Резюме анализа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Аудит качества данных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2.1. Заполненность полей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2.2. Структурные проблемы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3. Критически недостающая информация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3.1. Текущий ассортимент (самый большой пробел)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3.2. Объём закупок ЛКМ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3.3. Этап воронки и сроки контрактов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4. Рекомендуемая модель скоринга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4.1. Ось 1: Потенциал (60%)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4.2. Ось 2: Доступность (40%)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5. Рекомендуемые новые колонки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5.1. Приоритет 1: Немедленно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5.2. Приоритет 2: Высокий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5.3. Приоритет 3: Желательно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6. Стратегия захода по продукту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6.1. Практические рекомендации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7. План действий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7.1. Этап 1: Чистка данных (1 неделя)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7.2. Этап 2: Сбор критических данных (2–4 недели)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7.3. Этап 3: Расчёт скоринга (1 неделя)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7.4. Этап 4: Целевые контакты (постоянно)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Calibri" w:eastAsia="Microsoft YaHei"/>
          <w:i/>
          <w:iCs/>
          <w:color w:val="999999"/>
          <w:sz w:val="18"/>
          <w:szCs w:val="18"/>
        </w:rPr>
        <w:t xml:space="preserve">Для обновления номеров страниц нажмите правой кнопкой на оглавление → «Обновить поле»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2C3E50"/>
          <w:sz w:val="32"/>
          <w:szCs w:val="32"/>
        </w:rPr>
        <w:t xml:space="preserve">1. Резюме анализа</w:t>
      </w:r>
      <w:bookmarkEnd w:id="10000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Проведён анализ таблицы «Белые пятна + ушедшие клиенты», содержащей 158 строк по 136 уникальным клиентам в 26 столбцов. Основная проблема: таблица содержит контактную информацию, но не даёт возможности приоритизировать клиентов, понять их потенциал и выбрать продукт для захода. Критически не хватает данных о текущем ассортименте клиентов, объёме закупок ЛКМ и конкурентном положении.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Ключевые выводы: (1) более половины ключевых полей заполнены менее чем на 25%; (2) отсутствует информация о текущем ассортименте; (3) нет системы скоринга; (4) 15 клиентов имеют дублирующие строки.</w:t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2C3E50"/>
          <w:sz w:val="32"/>
          <w:szCs w:val="32"/>
        </w:rPr>
        <w:t xml:space="preserve">2. Аудит качества данных</w:t>
      </w:r>
      <w:bookmarkEnd w:id="100001"/>
    </w:p>
    <w:p>
      <w:pPr>
        <w:pStyle w:val="Heading2"/>
        <w:spacing w:after="120" w:before="240" w:line="312"/>
      </w:pPr>
      <w:bookmarkStart w:id="100002" w:name="_Toc100002"/>
      <w:r>
        <w:rPr>
          <w:rFonts w:ascii="Calibri" w:eastAsia="SimHei"/>
          <w:b/>
          <w:bCs/>
          <w:color w:val="2C3E50"/>
          <w:sz w:val="28"/>
          <w:szCs w:val="28"/>
        </w:rPr>
        <w:t xml:space="preserve">2.1. Заполненность полей</w:t>
      </w:r>
      <w:bookmarkEnd w:id="100002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Анализ показывает три слоя качества. Первый (более 70%): Ответственный РД, ФО, Город, Клиент, ИНН, Комментарии, Почтовый адрес. Второй (40–70%): Выручка, Email, Сайт. Третий (менее 25%): ФИО ЛПР (11%), Телефон (4%), Дата последней встречи (21%), Дистр/сеть (25%), География (25%), Склад (18%), Логистика (15%), Команда (13%), Возражения (24%).</w:t>
      </w:r>
    </w:p>
    <w:tbl>
      <w:tblPr>
        <w:tblW w:type="pct" w:w="100%"/>
        <w:tblBorders>
          <w:top w:val="single" w:color="E67E22" w:sz="2"/>
          <w:left w:val="none"/>
          <w:bottom w:val="single" w:color="E67E2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Поле</w:t>
            </w:r>
          </w:p>
        </w:tc>
        <w:tc>
          <w:tcPr>
            <w:tcW w:type="pct" w:w="15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Заполнено</w:t>
            </w:r>
          </w:p>
        </w:tc>
        <w:tc>
          <w:tcPr>
            <w:tcW w:type="pct" w:w="25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Критичность</w:t>
            </w:r>
          </w:p>
        </w:tc>
        <w:tc>
          <w:tcPr>
            <w:tcW w:type="pct" w:w="3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Приоритет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ФИО ЛПР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11%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Критически высокая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Немедленный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Телефон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4%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Критически высокая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Немедленный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Дата последней встречи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21%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Дистр/сеть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География поставок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Склад (м2)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18%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Средняя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Средний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Возражения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24%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Высокий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Выручка 2025</w:t>
            </w:r>
          </w:p>
        </w:tc>
        <w:tc>
          <w:tcPr>
            <w:tcW w:type="pct" w:w="1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60%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Высокая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Высокий</w:t>
            </w:r>
          </w:p>
        </w:tc>
      </w:tr>
    </w:tbl>
    <w:p>
      <w:pPr>
        <w:spacing w:after="120" w:before="60"/>
      </w:pPr>
      <w:r>
        <w:rPr>
          <w:rFonts w:ascii="Calibri" w:eastAsia="Microsoft YaHei"/>
          <w:i/>
          <w:iCs/>
          <w:color w:val="607080"/>
          <w:sz w:val="21"/>
          <w:szCs w:val="21"/>
        </w:rPr>
        <w:t xml:space="preserve">Таблица 1. Заполненность ключевых полей</w:t>
      </w:r>
    </w:p>
    <w:p>
      <w:pPr>
        <w:pStyle w:val="Heading2"/>
        <w:spacing w:after="120" w:before="240" w:line="312"/>
      </w:pPr>
      <w:bookmarkStart w:id="100003" w:name="_Toc100003"/>
      <w:r>
        <w:rPr>
          <w:rFonts w:ascii="Calibri" w:eastAsia="SimHei"/>
          <w:b/>
          <w:bCs/>
          <w:color w:val="2C3E50"/>
          <w:sz w:val="28"/>
          <w:szCs w:val="28"/>
        </w:rPr>
        <w:t xml:space="preserve">2.2. Структурные проблемы</w:t>
      </w:r>
      <w:bookmarkEnd w:id="100003"/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Дублирование строк. </w:t>
      </w:r>
      <w:r>
        <w:rPr>
          <w:rFonts w:ascii="Calibri" w:eastAsia="Microsoft YaHei"/>
          <w:color w:val="000000"/>
          <w:sz w:val="24"/>
          <w:szCs w:val="24"/>
        </w:rPr>
        <w:t xml:space="preserve">15 клиентов имеют несколько строк с одним ИНН. Это связано с тем, что у одного клиента несколько контактных лиц, и каждое заносится в отдельную строку. Рекомендация: один клиент = одна строка, контактные лица — в отдельной таблице или доп. колонках.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Нестандартные значения. </w:t>
      </w:r>
      <w:r>
        <w:rPr>
          <w:rFonts w:ascii="Calibri" w:eastAsia="Microsoft YaHei"/>
          <w:color w:val="000000"/>
          <w:sz w:val="24"/>
          <w:szCs w:val="24"/>
        </w:rPr>
        <w:t xml:space="preserve">Поле «Дистр/сеть» содержит 9 вариаций написания. Нужен выпадающий список: Дистрибутор / Сеть / Субдистрибутор / Дистр+Сеть. Аналогично поле «Склад» содержит как числовые, так и текстовые значения, что не даёт возможности сравнения.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Calibri" w:eastAsia="SimHei"/>
          <w:b/>
          <w:bCs/>
          <w:color w:val="2C3E50"/>
          <w:sz w:val="32"/>
          <w:szCs w:val="32"/>
        </w:rPr>
        <w:t xml:space="preserve">3. Критически недостающая информация</w:t>
      </w:r>
      <w:bookmarkEnd w:id="100004"/>
    </w:p>
    <w:p>
      <w:pPr>
        <w:pStyle w:val="Heading2"/>
        <w:spacing w:after="120" w:before="240" w:line="312"/>
      </w:pPr>
      <w:bookmarkStart w:id="100005" w:name="_Toc100005"/>
      <w:r>
        <w:rPr>
          <w:rFonts w:ascii="Calibri" w:eastAsia="SimHei"/>
          <w:b/>
          <w:bCs/>
          <w:color w:val="2C3E50"/>
          <w:sz w:val="28"/>
          <w:szCs w:val="28"/>
        </w:rPr>
        <w:t xml:space="preserve">3.1. Текущий ассортимент (самый большой пробел)</w:t>
      </w:r>
      <w:bookmarkEnd w:id="10000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 таблице нет ни одного столбца, который систематически фиксирует, какие бренды ЛКМ сейчас представлены у клиента. Информация о конкурентах встречается только в комментариях («работают с Лакрой, Рогнеда», «Декарт, Престиж, Фарбен»), но не структурировано.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Знание ассортимента важно по двум причинам. Первая: понимание, кто работает с прямыми конкурентами Эмпилс, позволит сформулировать аргументы перехода. Вторая: если клиент работает только с низкоценовым сегментом (ПФ-115 и аналоги), заходить с Титаном нецелесообразно — нужно начинать с базовой линейки Эмпилс. Если у него уже есть премиум-бренды — Титан вписывается в матрицу.</w:t>
      </w:r>
    </w:p>
    <w:p>
      <w:pPr>
        <w:pStyle w:val="Heading2"/>
        <w:spacing w:after="120" w:before="240" w:line="312"/>
      </w:pPr>
      <w:bookmarkStart w:id="100006" w:name="_Toc100006"/>
      <w:r>
        <w:rPr>
          <w:rFonts w:ascii="Calibri" w:eastAsia="SimHei"/>
          <w:b/>
          <w:bCs/>
          <w:color w:val="2C3E50"/>
          <w:sz w:val="28"/>
          <w:szCs w:val="28"/>
        </w:rPr>
        <w:t xml:space="preserve">3.2. Объём закупок ЛКМ</w:t>
      </w:r>
      <w:bookmarkEnd w:id="100006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Есть общая выручка, но нет доли ЛКМ. Клиент с выручкой 5 млрд и ЛКМ 2% — это один потенциал. Клиент с 200 млн и ЛКМ 40% — совершенно другой. Без понимания доли ЛКМ невозможно оценить реальный потенциал.</w:t>
      </w:r>
    </w:p>
    <w:p>
      <w:pPr>
        <w:pStyle w:val="Heading2"/>
        <w:spacing w:after="120" w:before="240" w:line="312"/>
      </w:pPr>
      <w:bookmarkStart w:id="100007" w:name="_Toc100007"/>
      <w:r>
        <w:rPr>
          <w:rFonts w:ascii="Calibri" w:eastAsia="SimHei"/>
          <w:b/>
          <w:bCs/>
          <w:color w:val="2C3E50"/>
          <w:sz w:val="28"/>
          <w:szCs w:val="28"/>
        </w:rPr>
        <w:t xml:space="preserve">3.3. Этап воронки и сроки контрактов</w:t>
      </w:r>
      <w:bookmarkEnd w:id="100007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Нет чёткой классификации этапа переговоров. Непонятно, находится ли клиент на этапе первичного контакта, предъявления КП или заключения договора. Также критически важно знать сроки договоров с конкурентами — это определяет «окно возможности».</w:t>
      </w:r>
    </w:p>
    <w:p>
      <w:pPr>
        <w:pStyle w:val="Heading1"/>
        <w:spacing w:after="160" w:before="360" w:line="312"/>
      </w:pPr>
      <w:bookmarkStart w:id="100008" w:name="_Toc100008"/>
      <w:r>
        <w:rPr>
          <w:rFonts w:ascii="Calibri" w:eastAsia="SimHei"/>
          <w:b/>
          <w:bCs/>
          <w:color w:val="2C3E50"/>
          <w:sz w:val="32"/>
          <w:szCs w:val="32"/>
        </w:rPr>
        <w:t xml:space="preserve">4. Рекомендуемая модель скоринга</w:t>
      </w:r>
      <w:bookmarkEnd w:id="10000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Для приоритизации предлагается двухосная модель: Потенциал (насколько клиент важен) × 0.6 + Доступность (насколько реально привлечь) × 0.4 = Итого 0–5. Клиенты со скором 4–5 — первый приоритет, 3–4 — второй, ниже 3 — третий.</w:t>
      </w:r>
    </w:p>
    <w:p>
      <w:pPr>
        <w:pStyle w:val="Heading2"/>
        <w:spacing w:after="120" w:before="240" w:line="312"/>
      </w:pPr>
      <w:bookmarkStart w:id="100009" w:name="_Toc100009"/>
      <w:r>
        <w:rPr>
          <w:rFonts w:ascii="Calibri" w:eastAsia="SimHei"/>
          <w:b/>
          <w:bCs/>
          <w:color w:val="2C3E50"/>
          <w:sz w:val="28"/>
          <w:szCs w:val="28"/>
        </w:rPr>
        <w:t xml:space="preserve">4.1. Ось 1: Потенциал (60%)</w:t>
      </w:r>
      <w:bookmarkEnd w:id="100009"/>
    </w:p>
    <w:tbl>
      <w:tblPr>
        <w:tblW w:type="pct" w:w="100%"/>
        <w:tblBorders>
          <w:top w:val="single" w:color="E67E22" w:sz="2"/>
          <w:left w:val="none"/>
          <w:bottom w:val="single" w:color="E67E2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Критерий</w:t>
            </w:r>
          </w:p>
        </w:tc>
        <w:tc>
          <w:tcPr>
            <w:tcW w:type="pct" w:w="1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Вес</w:t>
            </w:r>
          </w:p>
        </w:tc>
        <w:tc>
          <w:tcPr>
            <w:tcW w:type="pct" w:w="6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Шкала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Объём закупок ЛКМ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&lt;10млн=1, 10–50=2, 50–200=3, 200–500=4, &gt;500=5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Доля ЛКМ в ассортименте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малая=1, средняя=3, высокая=5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География / охват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10%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 регион=1, 2–3=2, 4–6=3, 7–10=4, Федеральный=5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Тип партнёра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10%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Субдистр=1, Дистр региональный=3, Дистр+Сеть=4, Фед. сеть=5</w:t>
            </w:r>
          </w:p>
        </w:tc>
      </w:tr>
    </w:tbl>
    <w:p>
      <w:pPr>
        <w:spacing w:after="120" w:before="60"/>
      </w:pPr>
      <w:r>
        <w:rPr>
          <w:rFonts w:ascii="Calibri" w:eastAsia="Microsoft YaHei"/>
          <w:i/>
          <w:iCs/>
          <w:color w:val="607080"/>
          <w:sz w:val="21"/>
          <w:szCs w:val="21"/>
        </w:rPr>
        <w:t xml:space="preserve">Таблица 2. Критерии оси «Потенциал»</w:t>
      </w:r>
    </w:p>
    <w:p>
      <w:pPr>
        <w:pStyle w:val="Heading2"/>
        <w:spacing w:after="120" w:before="240" w:line="312"/>
      </w:pPr>
      <w:bookmarkStart w:id="100010" w:name="_Toc100010"/>
      <w:r>
        <w:rPr>
          <w:rFonts w:ascii="Calibri" w:eastAsia="SimHei"/>
          <w:b/>
          <w:bCs/>
          <w:color w:val="2C3E50"/>
          <w:sz w:val="28"/>
          <w:szCs w:val="28"/>
        </w:rPr>
        <w:t xml:space="preserve">4.2. Ось 2: Доступность (40%)</w:t>
      </w:r>
      <w:bookmarkEnd w:id="100010"/>
    </w:p>
    <w:tbl>
      <w:tblPr>
        <w:tblW w:type="pct" w:w="100%"/>
        <w:tblBorders>
          <w:top w:val="single" w:color="E67E22" w:sz="2"/>
          <w:left w:val="none"/>
          <w:bottom w:val="single" w:color="E67E2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Критерий</w:t>
            </w:r>
          </w:p>
        </w:tc>
        <w:tc>
          <w:tcPr>
            <w:tcW w:type="pct" w:w="1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Вес</w:t>
            </w:r>
          </w:p>
        </w:tc>
        <w:tc>
          <w:tcPr>
            <w:tcW w:type="pct" w:w="6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Шкала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Этап воронки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Нет контакта=1, Первый=2, КП отправлено=3, КП рассмотрено=4, Переговоры=5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Открытость к смене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10%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Полный отказ=1, Пауза=2, Рассмотрение=3, Интерес=4, Готов к договору=5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Срок до окна возможности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10%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&gt;1 года=1, 6–12 мес=2, 3–6=3, 1–3=4, Сейчас=5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Наличие ЛПР и контакта</w:t>
            </w:r>
          </w:p>
        </w:tc>
        <w:tc>
          <w:tcPr>
            <w:tcW w:type="pct" w:w="1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5%</w:t>
            </w:r>
          </w:p>
        </w:tc>
        <w:tc>
          <w:tcPr>
            <w:tcW w:type="pct" w:w="6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Нет контакта=1, Есть контакт не ЛПР=3, Есть ЛПР=5</w:t>
            </w:r>
          </w:p>
        </w:tc>
      </w:tr>
    </w:tbl>
    <w:p>
      <w:pPr>
        <w:spacing w:after="120" w:before="60"/>
      </w:pPr>
      <w:r>
        <w:rPr>
          <w:rFonts w:ascii="Calibri" w:eastAsia="Microsoft YaHei"/>
          <w:i/>
          <w:iCs/>
          <w:color w:val="607080"/>
          <w:sz w:val="21"/>
          <w:szCs w:val="21"/>
        </w:rPr>
        <w:t xml:space="preserve">Таблица 3. Критерии оси «Доступность»</w:t>
      </w:r>
    </w:p>
    <w:p>
      <w:pPr>
        <w:pStyle w:val="Heading1"/>
        <w:spacing w:after="160" w:before="360" w:line="312"/>
      </w:pPr>
      <w:bookmarkStart w:id="100011" w:name="_Toc100011"/>
      <w:r>
        <w:rPr>
          <w:rFonts w:ascii="Calibri" w:eastAsia="SimHei"/>
          <w:b/>
          <w:bCs/>
          <w:color w:val="2C3E50"/>
          <w:sz w:val="32"/>
          <w:szCs w:val="32"/>
        </w:rPr>
        <w:t xml:space="preserve">5. Рекомендуемые новые колонки</w:t>
      </w:r>
      <w:bookmarkEnd w:id="100011"/>
    </w:p>
    <w:p>
      <w:pPr>
        <w:pStyle w:val="Heading2"/>
        <w:spacing w:after="120" w:before="240" w:line="312"/>
      </w:pPr>
      <w:bookmarkStart w:id="100012" w:name="_Toc100012"/>
      <w:r>
        <w:rPr>
          <w:rFonts w:ascii="Calibri" w:eastAsia="SimHei"/>
          <w:b/>
          <w:bCs/>
          <w:color w:val="2C3E50"/>
          <w:sz w:val="28"/>
          <w:szCs w:val="28"/>
        </w:rPr>
        <w:t xml:space="preserve">5.1. Приоритет 1: Немедленно</w:t>
      </w:r>
      <w:bookmarkEnd w:id="100012"/>
    </w:p>
    <w:tbl>
      <w:tblPr>
        <w:tblW w:type="pct" w:w="100%"/>
        <w:tblBorders>
          <w:top w:val="single" w:color="E67E22" w:sz="2"/>
          <w:left w:val="none"/>
          <w:bottom w:val="single" w:color="E67E2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Колонка</w:t>
            </w:r>
          </w:p>
        </w:tc>
        <w:tc>
          <w:tcPr>
            <w:tcW w:type="pct" w:w="25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Тип</w:t>
            </w:r>
          </w:p>
        </w:tc>
        <w:tc>
          <w:tcPr>
            <w:tcW w:type="pct" w:w="45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Зачем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Текущие бренды ЛКМ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Выпадающий список + текст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Определить конкурентов и продукт для захода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Оценочный объём закупок ЛКМ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Число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Основа для скоринга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Этап воронки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Выпадающий список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Управление процессом продаж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Открытость к смене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Выпадающий: 1–5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Вероятность успеха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Скор приоритета</w:t>
            </w:r>
          </w:p>
        </w:tc>
        <w:tc>
          <w:tcPr>
            <w:tcW w:type="pct" w:w="2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Формула</w:t>
            </w:r>
          </w:p>
        </w:tc>
        <w:tc>
          <w:tcPr>
            <w:tcW w:type="pct" w:w="45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Автоматический ранг</w:t>
            </w:r>
          </w:p>
        </w:tc>
      </w:tr>
    </w:tbl>
    <w:p>
      <w:pPr>
        <w:spacing w:after="120" w:before="60"/>
      </w:pPr>
      <w:r>
        <w:rPr>
          <w:rFonts w:ascii="Calibri" w:eastAsia="Microsoft YaHei"/>
          <w:i/>
          <w:iCs/>
          <w:color w:val="607080"/>
          <w:sz w:val="21"/>
          <w:szCs w:val="21"/>
        </w:rPr>
        <w:t xml:space="preserve">Таблица 4. Колонки приоритета 1</w:t>
      </w:r>
    </w:p>
    <w:p>
      <w:pPr>
        <w:pStyle w:val="Heading2"/>
        <w:spacing w:after="120" w:before="240" w:line="312"/>
      </w:pPr>
      <w:bookmarkStart w:id="100013" w:name="_Toc100013"/>
      <w:r>
        <w:rPr>
          <w:rFonts w:ascii="Calibri" w:eastAsia="SimHei"/>
          <w:b/>
          <w:bCs/>
          <w:color w:val="2C3E50"/>
          <w:sz w:val="28"/>
          <w:szCs w:val="28"/>
        </w:rPr>
        <w:t xml:space="preserve">5.2. Приоритет 2: Высокий</w:t>
      </w:r>
      <w:bookmarkEnd w:id="100013"/>
    </w:p>
    <w:tbl>
      <w:tblPr>
        <w:tblW w:type="pct" w:w="100%"/>
        <w:tblBorders>
          <w:top w:val="single" w:color="E67E22" w:sz="2"/>
          <w:left w:val="none"/>
          <w:bottom w:val="single" w:color="E67E2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Колонка</w:t>
            </w:r>
          </w:p>
        </w:tc>
        <w:tc>
          <w:tcPr>
            <w:tcW w:type="pct" w:w="3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Тип</w:t>
            </w:r>
          </w:p>
        </w:tc>
        <w:tc>
          <w:tcPr>
            <w:tcW w:type="pct" w:w="4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Зачем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Ценовой сегмент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Выпадающий: низкий/средний/премиум/смешанный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Определить продукт для захода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Конкурент № 1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Выпадающий список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Аргументы перехода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Контракт с конкурентом до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Дата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Окно возможности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Причина ухода/отказа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Выпадающий: цена/качество/логистика/ассортимент/лояльность/др.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Стратегия возвращения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Доля ЛКМ (%)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Число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Реальная значимость</w:t>
            </w:r>
          </w:p>
        </w:tc>
      </w:tr>
    </w:tbl>
    <w:p>
      <w:pPr>
        <w:spacing w:after="120" w:before="60"/>
      </w:pPr>
      <w:r>
        <w:rPr>
          <w:rFonts w:ascii="Calibri" w:eastAsia="Microsoft YaHei"/>
          <w:i/>
          <w:iCs/>
          <w:color w:val="607080"/>
          <w:sz w:val="21"/>
          <w:szCs w:val="21"/>
        </w:rPr>
        <w:t xml:space="preserve">Таблица 5. Колонки приоритета 2</w:t>
      </w:r>
    </w:p>
    <w:p>
      <w:pPr>
        <w:pStyle w:val="Heading2"/>
        <w:spacing w:after="120" w:before="240" w:line="312"/>
      </w:pPr>
      <w:bookmarkStart w:id="100014" w:name="_Toc100014"/>
      <w:r>
        <w:rPr>
          <w:rFonts w:ascii="Calibri" w:eastAsia="SimHei"/>
          <w:b/>
          <w:bCs/>
          <w:color w:val="2C3E50"/>
          <w:sz w:val="28"/>
          <w:szCs w:val="28"/>
        </w:rPr>
        <w:t xml:space="preserve">5.3. Приоритет 3: Желательно</w:t>
      </w:r>
      <w:bookmarkEnd w:id="100014"/>
    </w:p>
    <w:tbl>
      <w:tblPr>
        <w:tblW w:type="pct" w:w="100%"/>
        <w:tblBorders>
          <w:top w:val="single" w:color="E67E22" w:sz="2"/>
          <w:left w:val="none"/>
          <w:bottom w:val="single" w:color="E67E2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Колонка</w:t>
            </w:r>
          </w:p>
        </w:tc>
        <w:tc>
          <w:tcPr>
            <w:tcW w:type="pct" w:w="3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Тип</w:t>
            </w:r>
          </w:p>
        </w:tc>
        <w:tc>
          <w:tcPr>
            <w:tcW w:type="pct" w:w="4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Зачем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Рекомендуемый продукт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Выпадающий: Титан/Простокрашено/Профивуд/Др.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Точный продукт для предложения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Кол-во ТТ клиентов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Число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Охват через партнёра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Отсрочка (дни)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Число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Условия работы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Минимальный заказ (тыс.)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Число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Сопоставление с минималками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Контактное лицо №2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Текст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Резервный контакт</w:t>
            </w:r>
          </w:p>
        </w:tc>
      </w:tr>
    </w:tbl>
    <w:p>
      <w:pPr>
        <w:spacing w:after="120" w:before="60"/>
      </w:pPr>
      <w:r>
        <w:rPr>
          <w:rFonts w:ascii="Calibri" w:eastAsia="Microsoft YaHei"/>
          <w:i/>
          <w:iCs/>
          <w:color w:val="607080"/>
          <w:sz w:val="21"/>
          <w:szCs w:val="21"/>
        </w:rPr>
        <w:t xml:space="preserve">Таблица 6. Колонки приоритета 3</w:t>
      </w:r>
    </w:p>
    <w:p>
      <w:pPr>
        <w:pStyle w:val="Heading1"/>
        <w:spacing w:after="160" w:before="360" w:line="312"/>
      </w:pPr>
      <w:bookmarkStart w:id="100015" w:name="_Toc100015"/>
      <w:r>
        <w:rPr>
          <w:rFonts w:ascii="Calibri" w:eastAsia="SimHei"/>
          <w:b/>
          <w:bCs/>
          <w:color w:val="2C3E50"/>
          <w:sz w:val="32"/>
          <w:szCs w:val="32"/>
        </w:rPr>
        <w:t xml:space="preserve">6. Стратегия захода по продукту</w:t>
      </w:r>
      <w:bookmarkEnd w:id="100015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Выбор продукта для захода зависит от ценового сегмента ассортимента клиента, типа партнёра и его возражений.</w:t>
      </w:r>
    </w:p>
    <w:tbl>
      <w:tblPr>
        <w:tblW w:type="pct" w:w="100%"/>
        <w:tblBorders>
          <w:top w:val="single" w:color="E67E22" w:sz="2"/>
          <w:left w:val="none"/>
          <w:bottom w:val="single" w:color="E67E2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Сегмент клиента</w:t>
            </w:r>
          </w:p>
        </w:tc>
        <w:tc>
          <w:tcPr>
            <w:tcW w:type="pct" w:w="3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Продукт для захода</w:t>
            </w:r>
          </w:p>
        </w:tc>
        <w:tc>
          <w:tcPr>
            <w:tcW w:type="pct" w:w="40%"/>
            <w:shd w:fill="2C3E5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/>
                <w:bCs/>
                <w:color w:val="FFFFFF"/>
                <w:sz w:val="21"/>
                <w:szCs w:val="21"/>
              </w:rPr>
              <w:t xml:space="preserve">Аргумент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Низкий (только ПФ-115)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Простокрашено + Профивуд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Замена импорта, цена-качество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Средний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Титан + ТСО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Экономия на перекрасках, сокращение SKU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Премиум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Титан + ТСО + калькулятор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Дополнение матрицы, экспертность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Смешанный</w:t>
            </w:r>
          </w:p>
        </w:tc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Полная линейка Эмпилс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eastAsia="Microsoft YaHei"/>
                <w:b w:val="false"/>
                <w:bCs w:val="false"/>
                <w:color w:val="000000"/>
                <w:sz w:val="21"/>
                <w:szCs w:val="21"/>
              </w:rPr>
              <w:t xml:space="preserve">Полный захват</w:t>
            </w:r>
          </w:p>
        </w:tc>
      </w:tr>
    </w:tbl>
    <w:p>
      <w:pPr>
        <w:spacing w:after="120" w:before="60"/>
      </w:pPr>
      <w:r>
        <w:rPr>
          <w:rFonts w:ascii="Calibri" w:eastAsia="Microsoft YaHei"/>
          <w:i/>
          <w:iCs/>
          <w:color w:val="607080"/>
          <w:sz w:val="21"/>
          <w:szCs w:val="21"/>
        </w:rPr>
        <w:t xml:space="preserve">Таблица 7. Матрица «клиент → продукт»</w:t>
      </w:r>
    </w:p>
    <w:p>
      <w:pPr>
        <w:pStyle w:val="Heading2"/>
        <w:spacing w:after="120" w:before="240" w:line="312"/>
      </w:pPr>
      <w:bookmarkStart w:id="100016" w:name="_Toc100016"/>
      <w:r>
        <w:rPr>
          <w:rFonts w:ascii="Calibri" w:eastAsia="SimHei"/>
          <w:b/>
          <w:bCs/>
          <w:color w:val="2C3E50"/>
          <w:sz w:val="28"/>
          <w:szCs w:val="28"/>
        </w:rPr>
        <w:t xml:space="preserve">6.1. Практические рекомендации</w:t>
      </w:r>
      <w:bookmarkEnd w:id="100016"/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Низкий сегмент: </w:t>
      </w:r>
      <w:r>
        <w:rPr>
          <w:rFonts w:ascii="Calibri" w:eastAsia="Microsoft YaHei"/>
          <w:color w:val="000000"/>
          <w:sz w:val="24"/>
          <w:szCs w:val="24"/>
        </w:rPr>
        <w:t xml:space="preserve">не стоит начинать с Титана — он слишком дорогой. Начинать с Простокрашено и Профивуд — создать базовую лояльность, а потом переводить на Титан через ТСО.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Средний сегмент: </w:t>
      </w:r>
      <w:r>
        <w:rPr>
          <w:rFonts w:ascii="Calibri" w:eastAsia="Microsoft YaHei"/>
          <w:color w:val="000000"/>
          <w:sz w:val="24"/>
          <w:szCs w:val="24"/>
        </w:rPr>
        <w:t xml:space="preserve">идеальные кандидаты для Титана + ТСО. У них уже есть премиальные продукты, они понимают разницу в качестве. Аргумент сокращения SKU и экономии на складе самый сильный.</w:t>
      </w:r>
    </w:p>
    <w:p>
      <w:pPr>
        <w:spacing w:after="80" w:line="312"/>
        <w:ind w:firstLine="480"/>
        <w:jc w:val="both"/>
      </w:pPr>
      <w:r>
        <w:rPr>
          <w:rFonts w:ascii="Calibri" w:eastAsia="Microsoft YaHei"/>
          <w:b/>
          <w:bCs/>
          <w:color w:val="000000"/>
          <w:sz w:val="24"/>
          <w:szCs w:val="24"/>
        </w:rPr>
        <w:t xml:space="preserve">Премиум-сегмент: </w:t>
      </w:r>
      <w:r>
        <w:rPr>
          <w:rFonts w:ascii="Calibri" w:eastAsia="Microsoft YaHei"/>
          <w:color w:val="000000"/>
          <w:sz w:val="24"/>
          <w:szCs w:val="24"/>
        </w:rPr>
        <w:t xml:space="preserve">Титан как дополнение матрицы. Аргумент: вы уже продаёте дорогие продукты, Титан добавит экспертность и повысит средний чек.</w:t>
      </w:r>
    </w:p>
    <w:p>
      <w:pPr>
        <w:pStyle w:val="Heading1"/>
        <w:spacing w:after="160" w:before="360" w:line="312"/>
      </w:pPr>
      <w:bookmarkStart w:id="100017" w:name="_Toc100017"/>
      <w:r>
        <w:rPr>
          <w:rFonts w:ascii="Calibri" w:eastAsia="SimHei"/>
          <w:b/>
          <w:bCs/>
          <w:color w:val="2C3E50"/>
          <w:sz w:val="32"/>
          <w:szCs w:val="32"/>
        </w:rPr>
        <w:t xml:space="preserve">7. План действий</w:t>
      </w:r>
      <w:bookmarkEnd w:id="100017"/>
    </w:p>
    <w:p>
      <w:pPr>
        <w:pStyle w:val="Heading2"/>
        <w:spacing w:after="120" w:before="240" w:line="312"/>
      </w:pPr>
      <w:bookmarkStart w:id="100018" w:name="_Toc100018"/>
      <w:r>
        <w:rPr>
          <w:rFonts w:ascii="Calibri" w:eastAsia="SimHei"/>
          <w:b/>
          <w:bCs/>
          <w:color w:val="2C3E50"/>
          <w:sz w:val="28"/>
          <w:szCs w:val="28"/>
        </w:rPr>
        <w:t xml:space="preserve">7.1. Этап 1: Чистка данных (1 неделя)</w:t>
      </w:r>
      <w:bookmarkEnd w:id="100018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Удалить дубликаты, стандартизировать значения (выпадающие списки для Дистр/Сеть, числовые значения для склада), дозаполнить ФИО ЛПР и телефоны. Добавить колонки приоритета 1.</w:t>
      </w:r>
    </w:p>
    <w:p>
      <w:pPr>
        <w:pStyle w:val="Heading2"/>
        <w:spacing w:after="120" w:before="240" w:line="312"/>
      </w:pPr>
      <w:bookmarkStart w:id="100019" w:name="_Toc100019"/>
      <w:r>
        <w:rPr>
          <w:rFonts w:ascii="Calibri" w:eastAsia="SimHei"/>
          <w:b/>
          <w:bCs/>
          <w:color w:val="2C3E50"/>
          <w:sz w:val="28"/>
          <w:szCs w:val="28"/>
        </w:rPr>
        <w:t xml:space="preserve">7.2. Этап 2: Сбор критических данных (2–4 недели)</w:t>
      </w:r>
      <w:bookmarkEnd w:id="100019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По топ-30 клиентов собрать: текущий ассортимент ЛКМ, оценочный объём закупок, конкурента №1, сроки контрактов. Источники: сайты клиентов (каталоги), телефонные звонки, встречи РД, РОССТАТ, ЕГРЮЛ.</w:t>
      </w:r>
    </w:p>
    <w:p>
      <w:pPr>
        <w:pStyle w:val="Heading2"/>
        <w:spacing w:after="120" w:before="240" w:line="312"/>
      </w:pPr>
      <w:bookmarkStart w:id="100020" w:name="_Toc100020"/>
      <w:r>
        <w:rPr>
          <w:rFonts w:ascii="Calibri" w:eastAsia="SimHei"/>
          <w:b/>
          <w:bCs/>
          <w:color w:val="2C3E50"/>
          <w:sz w:val="28"/>
          <w:szCs w:val="28"/>
        </w:rPr>
        <w:t xml:space="preserve">7.3. Этап 3: Расчёт скоринга (1 неделя)</w:t>
      </w:r>
      <w:bookmarkEnd w:id="100020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Заполнить колонки скоринга, рассчитать итоговый скор, отранжировать, выделить 3 группы приоритета. Для группы 1 назначить ответственных РД и сроки.</w:t>
      </w:r>
    </w:p>
    <w:p>
      <w:pPr>
        <w:pStyle w:val="Heading2"/>
        <w:spacing w:after="120" w:before="240" w:line="312"/>
      </w:pPr>
      <w:bookmarkStart w:id="100021" w:name="_Toc100021"/>
      <w:r>
        <w:rPr>
          <w:rFonts w:ascii="Calibri" w:eastAsia="SimHei"/>
          <w:b/>
          <w:bCs/>
          <w:color w:val="2C3E50"/>
          <w:sz w:val="28"/>
          <w:szCs w:val="28"/>
        </w:rPr>
        <w:t xml:space="preserve">7.4. Этап 4: Целевые контакты (постоянно)</w:t>
      </w:r>
      <w:bookmarkEnd w:id="100021"/>
    </w:p>
    <w:p>
      <w:pPr>
        <w:spacing w:after="80" w:line="312"/>
        <w:ind w:firstLine="480"/>
        <w:jc w:val="both"/>
      </w:pPr>
      <w:r>
        <w:rPr>
          <w:rFonts w:ascii="Calibri" w:eastAsia="Microsoft YaHei"/>
          <w:color w:val="000000"/>
          <w:sz w:val="24"/>
          <w:szCs w:val="24"/>
        </w:rPr>
        <w:t xml:space="preserve">Для каждого клиента группы 1 подготовить индивидуальное КП с учётом ассортимента и рекомендованного продукта. Для среднего и премиум-сегмента обязательно включить расчёт ТСО. Обновлять таблицу после каждого контакта.</w:t>
      </w:r>
    </w:p>
    <w:sectPr>
      <w:headerReference w:type="default" r:id="rId9"/>
      <w:footerReference w:type="default" r:id="rId10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607080"/>
        <w:sz w:val="18"/>
        <w:szCs w:val="18"/>
      </w:rPr>
      <w:t xml:space="preserve">Анализ таблицы клиентов | Эмпилс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eastAsia="Microsoft YaHei"/>
        <w:color w:val="607080"/>
        <w:sz w:val="18"/>
        <w:szCs w:val="18"/>
      </w:rPr>
      <w:t xml:space="preserve">Анализ таблицы клиентов | Эмпилс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 w:line="312"/>
      <w:outlineLvl w:val="2"/>
    </w:pPr>
    <w:rPr>
      <w:rFonts w:ascii="Calibri" w:eastAsia="SimHei"/>
      <w:b/>
      <w:bCs/>
      <w:color w:val="2C3E50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2026-06-24T05:42:51.741Z</dcterms:created>
  <dcterms:modified xsi:type="dcterms:W3CDTF">2026-06-24T05:42:51.741Z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