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rPr>
          <w:trHeight w:val="7000" w:hRule="exact"/>
        </w:trPr>
        <w:tc>
          <w:tcPr>
            <w:tcW w:type="pct" w:w="100%"/>
            <w:shd w:fill="2C3E50" w:val="clear"/>
            <w:vAlign w:val="top"/>
          </w:tcPr>
          <w:p>
            <w:pPr>
              <w:spacing w:before="2400"/>
            </w:pPr>
          </w:p>
          <w:p>
            <w:pPr>
              <w:spacing w:after="200" w:line="1100" w:lineRule="atLeast"/>
              <w:ind w:left="80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52"/>
                <w:szCs w:val="52"/>
              </w:rPr>
              <w:t xml:space="preserve">АРГУМЕНТЫ</w:t>
            </w:r>
          </w:p>
          <w:p>
            <w:pPr>
              <w:spacing w:after="100" w:line="900" w:lineRule="atLeast"/>
              <w:ind w:left="80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44"/>
                <w:szCs w:val="44"/>
              </w:rPr>
              <w:t xml:space="preserve">ДЛЯ ДИСТРИБЮТОРОВ</w:t>
            </w:r>
          </w:p>
          <w:p>
            <w:pPr>
              <w:pBdr>
                <w:bottom w:val="single" w:color="E67E22" w:sz="12" w:space="1"/>
              </w:pBdr>
              <w:spacing w:after="200" w:before="0"/>
            </w:pPr>
            <w:r>
              <w:rPr>
                <w:sz w:val="8"/>
                <w:szCs w:val="8"/>
              </w:rPr>
              <w:t xml:space="preserve"> </w:t>
            </w:r>
          </w:p>
          <w:p>
            <w:pPr>
              <w:spacing w:after="100" w:before="200" w:line="600" w:lineRule="atLeast"/>
              <w:ind w:left="800"/>
              <w:jc w:val="left"/>
            </w:pPr>
            <w:r>
              <w:rPr>
                <w:rFonts w:ascii="Calibri" w:eastAsia="Microsoft YaHei"/>
                <w:color w:val="E0E0E0"/>
                <w:sz w:val="28"/>
                <w:szCs w:val="28"/>
              </w:rPr>
              <w:t xml:space="preserve">Преимущества продажи ЛКМ Титан</w:t>
            </w:r>
          </w:p>
          <w:p>
            <w:pPr>
              <w:spacing w:after="0" w:line="500" w:lineRule="atLeast"/>
              <w:ind w:left="800"/>
              <w:jc w:val="left"/>
            </w:pPr>
            <w:r>
              <w:rPr>
                <w:rFonts w:ascii="Calibri" w:eastAsia="Microsoft YaHei"/>
                <w:color w:val="B0BEC5"/>
                <w:sz w:val="24"/>
                <w:szCs w:val="24"/>
              </w:rPr>
              <w:t xml:space="preserve">по методике ТСО (Совокупная стоимость владения)</w:t>
            </w:r>
          </w:p>
        </w:tc>
      </w:tr>
      <w:tr>
        <w:trPr>
          <w:trHeight w:val="9838" w:hRule="exact"/>
        </w:trPr>
        <w:tc>
          <w:tcPr>
            <w:tcW w:type="pct" w:w="100%"/>
            <w:vAlign w:val="bottom"/>
          </w:tcPr>
          <w:p>
            <w:pPr>
              <w:spacing w:after="100"/>
              <w:ind w:left="800"/>
              <w:jc w:val="left"/>
            </w:pPr>
            <w:r>
              <w:rPr>
                <w:rFonts w:ascii="Calibri" w:eastAsia="Microsoft YaHei"/>
                <w:color w:val="607080"/>
                <w:sz w:val="22"/>
                <w:szCs w:val="22"/>
              </w:rPr>
              <w:t xml:space="preserve">Коммерческое предложение для торговых сетей и дистрибуторов</w:t>
            </w:r>
          </w:p>
          <w:p>
            <w:pPr>
              <w:spacing w:after="600"/>
              <w:ind w:left="800"/>
              <w:jc w:val="left"/>
            </w:pPr>
            <w:r>
              <w:rPr>
                <w:rFonts w:ascii="Calibri" w:eastAsia="Microsoft YaHei"/>
                <w:color w:val="607080"/>
                <w:sz w:val="22"/>
                <w:szCs w:val="22"/>
              </w:rPr>
              <w:t xml:space="preserve">Июнь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300" w:before="600"/>
        <w:jc w:val="center"/>
      </w:pPr>
      <w:r>
        <w:rPr>
          <w:rFonts w:ascii="Calibri" w:eastAsia="SimHei"/>
          <w:b/>
          <w:bCs/>
          <w:color w:val="2C3E50"/>
          <w:sz w:val="32"/>
          <w:szCs w:val="32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Резюме для руководителя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2. Текущая ситуация и проблема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2.1. Сложившаяся ассортиментная матрица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2.2. Результаты ТСО-анализа для потребителя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3. Ключевые аргументы для дистрибутора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3.1. Сокращение модельного ряда (SKU)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3.2. Экономия складских площадей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3.3. Экономия торговой площади в зале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3.4. Рост маржи на каждую проданную единицу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3.5. Снижение операционных издержек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3.6. Снижение риска недостачи и замораживания капитала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3.7. Рост лояльности клиентов и повторных покупок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3.8. Конкурентное преимущество и дифференциация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3.9. Снижение возвратов и претензий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3.10. Маркетинговая поддержка и инструментарий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4. Количественная модель: сравнение двух сценариев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4.1. Сценарий А: текущий ассортимент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4.2. Сценарий Б: ассортимент с Титаном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4.3. Сравнительная таблица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5. Порядок внедрения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5.1. Первый этап: пилотные продажи (1–2 месяца)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5.2. Второй этап: оптимизация ассортимента (3–6 месяцев)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5.3. Третий этап: масштабирование (6–12 месяцев)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6. Анализ рисков и митигация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6.1. Риск: клиент не хочет платить больше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6.2. Риск: продавцы не умеют продавать по ТСО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6.3. Риск: каннибализация продуктов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7. Ожидаемые результаты для дистрибутора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Calibri" w:eastAsia="Microsoft YaHei"/>
          <w:i/>
          <w:iCs/>
          <w:color w:val="999999"/>
          <w:sz w:val="18"/>
          <w:szCs w:val="18"/>
        </w:rPr>
        <w:t xml:space="preserve">Для обновления номеров страниц нажмите правой кнопкой на оглавление → «Обновить поле»</w:t>
      </w:r>
    </w:p>
    <w:p>
      <w:r>
        <w:br w:type="page"/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160" w:before="360" w:line="312"/>
      </w:pPr>
      <w:bookmarkStart w:id="100000" w:name="_Toc100000"/>
      <w:r>
        <w:rPr>
          <w:rFonts w:ascii="Calibri" w:eastAsia="SimHei"/>
          <w:b/>
          <w:bCs/>
          <w:color w:val="2C3E50"/>
          <w:sz w:val="32"/>
          <w:szCs w:val="32"/>
        </w:rPr>
        <w:t xml:space="preserve">1. Резюме для руководителя</w:t>
      </w:r>
      <w:bookmarkEnd w:id="100000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Настоящий документ содержит комплекс аргументов для убеждения торговых сетей и дистрибуторов включить ЛКМ Титан в ассортиментную матрицу и продавать его по методике ТСО — совокупной стоимости владения. Ранее мы продемонстрировали на примере трёх объектов (входные ворота, гараж, дверь), что Титан выгоден конечному потребителю в долгосрочной перспективе: стоимость владения снижается за счёт уменьшения количества перекрасок, снижения расхода материалов и экономии на труде.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Теперь мы рассматриваем вопрос с точки зрения самого продавца — торговой сети или дистрибутора. Зачем им менять сложившуюся ассортиментную матрицу, в которой уже есть ПФ-115, ГФ и другие позиции? Какую конкретную выгоду они получат? Ниже представлен системный перечень аргументов, касающихся сокращения модельного ряда, экономии складских и торговых площадей, роста маржи и лояльности клиентов.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Ключевой вывод: включение Титана в ассортимент и продажа через методику ТСО не конкурирует с существующими позициями, а дополняет их, повышая общую эффективность бизнеса дистрибутора. Титан позволяет сократить модельный ряд дешёвой продукции, освободить складские и торговые площади, снизить операционные издержки и увеличить маржу на каждую проданную единицу.</w:t>
      </w:r>
    </w:p>
    <w:p>
      <w:pPr>
        <w:pStyle w:val="Heading1"/>
        <w:spacing w:after="160" w:before="360" w:line="312"/>
      </w:pPr>
      <w:bookmarkStart w:id="100001" w:name="_Toc100001"/>
      <w:r>
        <w:rPr>
          <w:rFonts w:ascii="Calibri" w:eastAsia="SimHei"/>
          <w:b/>
          <w:bCs/>
          <w:color w:val="2C3E50"/>
          <w:sz w:val="32"/>
          <w:szCs w:val="32"/>
        </w:rPr>
        <w:t xml:space="preserve">2. Текущая ситуация и проблема</w:t>
      </w:r>
      <w:bookmarkEnd w:id="100001"/>
    </w:p>
    <w:p>
      <w:pPr>
        <w:pStyle w:val="Heading2"/>
        <w:spacing w:after="120" w:before="240" w:line="312"/>
      </w:pPr>
      <w:bookmarkStart w:id="100002" w:name="_Toc100002"/>
      <w:r>
        <w:rPr>
          <w:rFonts w:ascii="Calibri" w:eastAsia="SimHei"/>
          <w:b/>
          <w:bCs/>
          <w:color w:val="2C3E50"/>
          <w:sz w:val="28"/>
          <w:szCs w:val="28"/>
        </w:rPr>
        <w:t xml:space="preserve">2.1. Сложившаяся ассортиментная матрица</w:t>
      </w:r>
      <w:bookmarkEnd w:id="100002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Типичная ассортиментная матрица дистрибутора ЛКМ включает десятки SKU, поскольку рынок требует покрытия различных ценовых сегментов и назначений. Для наружных работ обычно предлагается связка: ГФ (грунт) + ПФ-115 (эмаль). Для металла нужен ещё один слой — преобразователь ржавчины. Итого для одной задачи клиенту нужно 2–3 разных продукта. В результате у дистрибутора растёт количество SKU, усложняется управление запасами, увеличиваются складские площади и затраты на логистику.</w:t>
      </w:r>
    </w:p>
    <w:p>
      <w:pPr>
        <w:pStyle w:val="Heading2"/>
        <w:spacing w:after="120" w:before="240" w:line="312"/>
      </w:pPr>
      <w:bookmarkStart w:id="100003" w:name="_Toc100003"/>
      <w:r>
        <w:rPr>
          <w:rFonts w:ascii="Calibri" w:eastAsia="SimHei"/>
          <w:b/>
          <w:bCs/>
          <w:color w:val="2C3E50"/>
          <w:sz w:val="28"/>
          <w:szCs w:val="28"/>
        </w:rPr>
        <w:t xml:space="preserve">2.2. Результаты ТСО-анализа для потребителя</w:t>
      </w:r>
      <w:bookmarkEnd w:id="100003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На примере трёх объектов (входные ворота, гараж, дверь) мы установили, что при использовании Титана совокупная стоимость владения значительно снижается по сравнению со стандартным комплектом (ГФ + ПФ-115). Это достигается за счёт снижения количества слоёв, уменьшения расхода материалов, сокращения трудозатрат и увеличения интервала между перекрасками. В итоге потребитель экономит деньги, но при этом покупает более дорогой продукт с более высокой маржой для продавца.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Титан заменяет связку из 2–3 продуктов одним. Вместо преобразователя ржавчины + ГФ + ПФ-115 клиент покупает одну банку Титана. Для потребителя это экономия на покупке дополнительных материалов, сокращение трудозатрат и уменьшение количества перекрасок в будущем. Для дистрибутора это предпосылка для глубокой оптимизации бизнес-процессов.</w:t>
      </w:r>
    </w:p>
    <w:p>
      <w:pPr>
        <w:pStyle w:val="Heading1"/>
        <w:spacing w:after="160" w:before="360" w:line="312"/>
      </w:pPr>
      <w:bookmarkStart w:id="100004" w:name="_Toc100004"/>
      <w:r>
        <w:rPr>
          <w:rFonts w:ascii="Calibri" w:eastAsia="SimHei"/>
          <w:b/>
          <w:bCs/>
          <w:color w:val="2C3E50"/>
          <w:sz w:val="32"/>
          <w:szCs w:val="32"/>
        </w:rPr>
        <w:t xml:space="preserve">3. Ключевые аргументы для дистрибутора</w:t>
      </w:r>
      <w:bookmarkEnd w:id="100004"/>
    </w:p>
    <w:p>
      <w:pPr>
        <w:pStyle w:val="Heading2"/>
        <w:spacing w:after="120" w:before="240" w:line="312"/>
      </w:pPr>
      <w:bookmarkStart w:id="100005" w:name="_Toc100005"/>
      <w:r>
        <w:rPr>
          <w:rFonts w:ascii="Calibri" w:eastAsia="SimHei"/>
          <w:b/>
          <w:bCs/>
          <w:color w:val="2C3E50"/>
          <w:sz w:val="28"/>
          <w:szCs w:val="28"/>
        </w:rPr>
        <w:t xml:space="preserve">3.1. Сокращение модельного ряда (SKU)</w:t>
      </w:r>
      <w:bookmarkEnd w:id="100005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Титан заменяет несколько позиций в ассортименте одной. Типичный комплект для наружных работ по металлу включает: преобразователь ржавчины + грунтовка ГФ + эмаль ПФ-115. Каждый из этих продуктов представлен в нескольких цветах и фасовках, что умножает количество SKU в разы. Титан позволяет заменить эту трёхкомпонентную схему одним продуктом, который выполняет все три функции: защита от коррозии, грунтование и декоративное покрытие.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Практический эффект: если дистрибутор держал в ассортименте 5 позиций ПФ-115 (разные цвета/фасовки), 3 позиции ГФ и 2 позиции преобразователя, то после ввода Титана можно сократить модельный ряд на 5–7 SKU, оставив ПФ-115 только для незащищённых поверхностей или внутренних работ, где требования к долговечности ниже. Сокращение SKU на 5–7 позиций — это прямая экономия на управлении ассортиментом, закупках, хранении и мерчандайзингу.</w:t>
      </w:r>
    </w:p>
    <w:p>
      <w:pPr>
        <w:pStyle w:val="Heading2"/>
        <w:spacing w:after="120" w:before="240" w:line="312"/>
      </w:pPr>
      <w:bookmarkStart w:id="100006" w:name="_Toc100006"/>
      <w:r>
        <w:rPr>
          <w:rFonts w:ascii="Calibri" w:eastAsia="SimHei"/>
          <w:b/>
          <w:bCs/>
          <w:color w:val="2C3E50"/>
          <w:sz w:val="28"/>
          <w:szCs w:val="28"/>
        </w:rPr>
        <w:t xml:space="preserve">3.2. Экономия складских площадей</w:t>
      </w:r>
      <w:bookmarkEnd w:id="100006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Каждый SKU требует места на складе и минимального страхового запаса. Сокращение 5–7 SKU означает, что не нужно держать на складе паллеты с грунтовкой, преобразователем и некоторыми позициями ПФ-115. В денежном выражении это снижение арендных платежей, расходов на отопление, освещение, страхование и охрану замороженного товара. При стоимости аренды склада от 300 руб./м2 в месяц освобождение даже 5–10 м2 даёт экономию 18 000–36 000 руб. в год.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Дополнительный эффект: меньше SKU — меньше позиций для инвентаризации, меньше ошибок отгрузки, меньше недостачин. Каждый лишний SKU — это ежемесячные контрольные операции, перемещения, актуализация остатков. Сокращение ассортимента упрощает всю логистическую цепочку.</w:t>
      </w:r>
    </w:p>
    <w:p>
      <w:pPr>
        <w:pStyle w:val="Heading2"/>
        <w:spacing w:after="120" w:before="240" w:line="312"/>
      </w:pPr>
      <w:bookmarkStart w:id="100007" w:name="_Toc100007"/>
      <w:r>
        <w:rPr>
          <w:rFonts w:ascii="Calibri" w:eastAsia="SimHei"/>
          <w:b/>
          <w:bCs/>
          <w:color w:val="2C3E50"/>
          <w:sz w:val="28"/>
          <w:szCs w:val="28"/>
        </w:rPr>
        <w:t xml:space="preserve">3.3. Экономия торговой площади в зале</w:t>
      </w:r>
      <w:bookmarkEnd w:id="100007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Торговая площадь в зале — самый дорогой ресурс дистрибутора. Аренда торговой площади в строительном магазине стоит от 1 500 до 5 000 руб./м2 в месяц в зависимости от города. Каждый стеллаж или полка, занятая медленно оборачиваемым товаром, — это упущенная выгода. Сократив 5–7 SKU низкомаржинальной продукции и заменив их Титаном, можно освободить 2–3 полки на стеллаже или целый стеллаж.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Освободившееся место можно использовать для других высокомаржинальных категорий, например специализированной химии, инструмента или комплектующих. Таким образом, каждый квадратный метр, освобождённый от низкомаржинального товара, начинает приносить больше денег за счёт продуктов с более высокой долей маржины. Это прямое увеличение выручки с квадратного метра торговой площади.</w:t>
      </w:r>
    </w:p>
    <w:p>
      <w:pPr>
        <w:pStyle w:val="Heading2"/>
        <w:spacing w:after="120" w:before="240" w:line="312"/>
      </w:pPr>
      <w:bookmarkStart w:id="100008" w:name="_Toc100008"/>
      <w:r>
        <w:rPr>
          <w:rFonts w:ascii="Calibri" w:eastAsia="SimHei"/>
          <w:b/>
          <w:bCs/>
          <w:color w:val="2C3E50"/>
          <w:sz w:val="28"/>
          <w:szCs w:val="28"/>
        </w:rPr>
        <w:t xml:space="preserve">3.4. Рост маржи на каждую проданную единицу</w:t>
      </w:r>
      <w:bookmarkEnd w:id="100008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Титан позиционируется в среднем и высоком ценовом сегменте. При этом абсолютная маржа с одной банки Титана выше, чем с одной банки ПФ-115. Но главное — клиент покупает одну банку Титана вместо трёх банок (преобразователь + ГФ + ПФ-115). Поэтому общая маржа с чека может быть схожей или даже выше, но она достигается при меньшем количестве операций и нижних издержек.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Дополнительный плюс: при продаже Титана через методику ТСО продавец имеет аргументированный разговор с покупателем. Не просто «вот дорогая краска», а расчёт: вот сколько вы потратите за 10 лет с ПФ-115 и вот сколько с Титаном. Это снимает ценовое сопротивление и повышает конверсию в более дорогой продукт, а значит, увеличивает маржу с каждого покупателя, который согласен на расчёт ТСО.</w:t>
      </w:r>
    </w:p>
    <w:p>
      <w:pPr>
        <w:pStyle w:val="Heading2"/>
        <w:spacing w:after="120" w:before="240" w:line="312"/>
      </w:pPr>
      <w:bookmarkStart w:id="100009" w:name="_Toc100009"/>
      <w:r>
        <w:rPr>
          <w:rFonts w:ascii="Calibri" w:eastAsia="SimHei"/>
          <w:b/>
          <w:bCs/>
          <w:color w:val="2C3E50"/>
          <w:sz w:val="28"/>
          <w:szCs w:val="28"/>
        </w:rPr>
        <w:t xml:space="preserve">3.5. Снижение операционных издержек</w:t>
      </w:r>
      <w:bookmarkEnd w:id="100009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Меньше SKU означает меньше операционной нагрузки на каждом этапе цепочки поставок. Закупка: меньше заказов и поставщиков, меньше документооборота. Приёмка: меньше позиций для контроля, меньше риска ошибок при отгрузке. Хранение: меньше номенклатуры для учёта, меньше случаев пересортицы и некондиции. Отгрузка: меньше позиций для комплектовки заказа. Каждый этап дешевле и быстрее, когда ассортимент компактен.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Особенно это важно для малых и средних дистрибуторов, где каждый сотрудник совмещает несколько ролей, и упрощение управления ассортиментом даёт непропорционально большой выигрыш в эффективности. Время, которое менеджер тратит на контроль 10 лишних SKU, можно перенаправить на продажи и консультации клиентов.</w:t>
      </w:r>
    </w:p>
    <w:p>
      <w:pPr>
        <w:pStyle w:val="Heading2"/>
        <w:spacing w:after="120" w:before="240" w:line="312"/>
      </w:pPr>
      <w:bookmarkStart w:id="100010" w:name="_Toc100010"/>
      <w:r>
        <w:rPr>
          <w:rFonts w:ascii="Calibri" w:eastAsia="SimHei"/>
          <w:b/>
          <w:bCs/>
          <w:color w:val="2C3E50"/>
          <w:sz w:val="28"/>
          <w:szCs w:val="28"/>
        </w:rPr>
        <w:t xml:space="preserve">3.6. Снижение риска недостачи и замораживания капитала</w:t>
      </w:r>
      <w:bookmarkEnd w:id="100010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Дешёвые лакокрасочные материалы, такие как ПФ-115 и ГФ, имеют ограниченный срок годности и требуют соблюдения условий хранения. Большой ассортимент таких материалов создаёт риск замораживания капитала в необорачиваемых остатках, некондиции и списании. Титан, благодаря своей стоимости и комплексности, оборачивается быстрее и имеет меньше рисков некондиции, поскольку обычно продаётся как комплектное решение, а не как отдельный компонент.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Меньше остатков — меньше замороженных денег и больше свободного капитала для инвестиций в другие категории. При средней стоимости ПФ-115 около 400 руб./банка и среднем запасе 30 банок по 5 SKU мы говорим о 60 000 руб. замороженных средств, которые можно освободить при сокращении ассортимента.</w:t>
      </w:r>
    </w:p>
    <w:p>
      <w:pPr>
        <w:pStyle w:val="Heading2"/>
        <w:spacing w:after="120" w:before="240" w:line="312"/>
      </w:pPr>
      <w:bookmarkStart w:id="100011" w:name="_Toc100011"/>
      <w:r>
        <w:rPr>
          <w:rFonts w:ascii="Calibri" w:eastAsia="SimHei"/>
          <w:b/>
          <w:bCs/>
          <w:color w:val="2C3E50"/>
          <w:sz w:val="28"/>
          <w:szCs w:val="28"/>
        </w:rPr>
        <w:t xml:space="preserve">3.7. Рост лояльности клиентов и повторных покупок</w:t>
      </w:r>
      <w:bookmarkEnd w:id="100011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Клиент, который покупает Титан и видит реальную экономию на перекрасках, становится лояльным покупателем. Он возвращается за следующей покупкой Титана, а не за ПФ-115, потому что уже понял разницу. Методика ТСО создаёт переключение мышления: клиент перестаёт выбирать по принципу «дешевле — значит лучше» и начинает считать совокупные затраты. Это фундаментально меняет привычную модель покупки ЛКМ.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Кроме того, клиент, который доверился рекомендации продавца и получил результат, становится адвокатом бренда. Он рассказывает соседям, коллегам, знакомым. Таким образом, методика ТСО работает как инструмент удержания клиента и снижения стоимости привлечения новых покупателей, поскольку каждый удовлетворённый клиент становится источником рекомендаций.</w:t>
      </w:r>
    </w:p>
    <w:p>
      <w:pPr>
        <w:pStyle w:val="Heading2"/>
        <w:spacing w:after="120" w:before="240" w:line="312"/>
      </w:pPr>
      <w:bookmarkStart w:id="100012" w:name="_Toc100012"/>
      <w:r>
        <w:rPr>
          <w:rFonts w:ascii="Calibri" w:eastAsia="SimHei"/>
          <w:b/>
          <w:bCs/>
          <w:color w:val="2C3E50"/>
          <w:sz w:val="28"/>
          <w:szCs w:val="28"/>
        </w:rPr>
        <w:t xml:space="preserve">3.8. Конкурентное преимущество и дифференциация</w:t>
      </w:r>
      <w:bookmarkEnd w:id="100012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Большинство конкурентов продаёт ПФ-115 как отдельную краску, конкурируя исключительно по цене. Продажа Титана через методику ТСО выводит дистрибутора из ценовой конкуренции. Клиент не сравнивает цену банки Титана с ценой ПФ-115, он сравнивает стоимость 10-летнего владения. А здесь Титан выигрывает.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Также методика ТСО позволяет дистрибутору стать экспертом, а не просто перепродавцом. Продавец, который показывает расчёт ТСО, повышает свою ценность для клиента. Клиент приходит к нему за решением, а не за самой дешёвой краской. Это условие для долгосрочного конкурентного преимущества, которое нельзя скопировать простым снижением цены.</w:t>
      </w:r>
    </w:p>
    <w:p>
      <w:pPr>
        <w:pStyle w:val="Heading2"/>
        <w:spacing w:after="120" w:before="240" w:line="312"/>
      </w:pPr>
      <w:bookmarkStart w:id="100013" w:name="_Toc100013"/>
      <w:r>
        <w:rPr>
          <w:rFonts w:ascii="Calibri" w:eastAsia="SimHei"/>
          <w:b/>
          <w:bCs/>
          <w:color w:val="2C3E50"/>
          <w:sz w:val="28"/>
          <w:szCs w:val="28"/>
        </w:rPr>
        <w:t xml:space="preserve">3.9. Снижение возвратов и претензий</w:t>
      </w:r>
      <w:bookmarkEnd w:id="100013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Качественный продукт с продуманной системой нанесения даёт меньше поводов для возвратов и претензий. Когда клиент покупает ПФ-115, наносит на ржавчину без преобразователя, краска отслаивается через сезон — он винит краску и придёт в магазин с претензией. Когда клиент покупает Титан с полной системой нанесения (подготовка + Титан), результат предсказуем и риск возврата минимален.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Меньше возвратов — это не только снижение прямых потерь (возврат денег, уценка товара), но и снижение косвенных: время персонала на разбор претензий, ущерб репутации, потеря доверия клиентов. Каждый возврат обходится в 3–5 раз дороже стоимости товара за счёт операционных издержек, поэтому снижение претензионности на 20–30% даёт значительный экономический эффект.</w:t>
      </w:r>
    </w:p>
    <w:p>
      <w:pPr>
        <w:pStyle w:val="Heading2"/>
        <w:spacing w:after="120" w:before="240" w:line="312"/>
      </w:pPr>
      <w:bookmarkStart w:id="100014" w:name="_Toc100014"/>
      <w:r>
        <w:rPr>
          <w:rFonts w:ascii="Calibri" w:eastAsia="SimHei"/>
          <w:b/>
          <w:bCs/>
          <w:color w:val="2C3E50"/>
          <w:sz w:val="28"/>
          <w:szCs w:val="28"/>
        </w:rPr>
        <w:t xml:space="preserve">3.10. Маркетинговая поддержка и инструментарий</w:t>
      </w:r>
      <w:bookmarkEnd w:id="100014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Методика ТСО — это готовый маркетинговый инструмент. Вместо того чтобы просто ставить банку на полку и ждать, дистрибутор получает расчётный инструмент, который можно показать клиенту: таблицы сравнения, калькулятор ТСО, памятки для продавцов. Это создаёт видимую добавленную стоимость и отличает предложение от конкурентов, которые просто отгружают банки с краской.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Также методика ТСО открывает возможность проведения мастер-классов и обучения продавцов. Магазин, который предлагает клиенту не только товар, но и экспертную консультацию с расчётом экономии, занимает позицию эксперта. Это увеличивает средний чек и улучшает показатели конверсии в среднем и высоком ценовых сегментах.</w:t>
      </w:r>
    </w:p>
    <w:p>
      <w:pPr>
        <w:pStyle w:val="Heading1"/>
        <w:spacing w:after="160" w:before="360" w:line="312"/>
      </w:pPr>
      <w:bookmarkStart w:id="100015" w:name="_Toc100015"/>
      <w:r>
        <w:rPr>
          <w:rFonts w:ascii="Calibri" w:eastAsia="SimHei"/>
          <w:b/>
          <w:bCs/>
          <w:color w:val="2C3E50"/>
          <w:sz w:val="32"/>
          <w:szCs w:val="32"/>
        </w:rPr>
        <w:t xml:space="preserve">4. Количественная модель: сравнение двух сценариев</w:t>
      </w:r>
      <w:bookmarkEnd w:id="100015"/>
    </w:p>
    <w:p>
      <w:pPr>
        <w:pStyle w:val="Heading2"/>
        <w:spacing w:after="120" w:before="240" w:line="312"/>
      </w:pPr>
      <w:bookmarkStart w:id="100016" w:name="_Toc100016"/>
      <w:r>
        <w:rPr>
          <w:rFonts w:ascii="Calibri" w:eastAsia="SimHei"/>
          <w:b/>
          <w:bCs/>
          <w:color w:val="2C3E50"/>
          <w:sz w:val="28"/>
          <w:szCs w:val="28"/>
        </w:rPr>
        <w:t xml:space="preserve">4.1. Сценарий А: текущий ассортимент</w:t>
      </w:r>
      <w:bookmarkEnd w:id="100016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Дистрибутор держит полный ассортимент: 5 позиций ПФ-115 (разные цвета/фасовки), 3 позиции ГФ, 2 позиции преобразователя ржавчины. Итого 10 SKU только для наружных работ по металлу. Каждый SKU требует минимального запаса, места на складе и в зале. Низкая маржа на ПФ-115 компенсируется объёмом, но занимает дорогое место на полках.</w:t>
      </w:r>
    </w:p>
    <w:p>
      <w:pPr>
        <w:pStyle w:val="Heading2"/>
        <w:spacing w:after="120" w:before="240" w:line="312"/>
      </w:pPr>
      <w:bookmarkStart w:id="100017" w:name="_Toc100017"/>
      <w:r>
        <w:rPr>
          <w:rFonts w:ascii="Calibri" w:eastAsia="SimHei"/>
          <w:b/>
          <w:bCs/>
          <w:color w:val="2C3E50"/>
          <w:sz w:val="28"/>
          <w:szCs w:val="28"/>
        </w:rPr>
        <w:t xml:space="preserve">4.2. Сценарий Б: ассортимент с Титаном</w:t>
      </w:r>
      <w:bookmarkEnd w:id="100017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Дистрибутор вводит 2–3 позиции Титана (разные фасовки) и сокращает 5–7 SKU дешёвой продукции. Итого вместо 10 SKU — 5–6 SKU. Снижение на 40–50%. Титан продаётся с более высокой маржой, чем ПФ-115, а клиент покупает 1 банку Титана вместо 2–3 банок других продуктов. Освобождается складская и торговая площадь, снижаются операционные издержки, растёт лояльность клиентов.</w:t>
      </w:r>
    </w:p>
    <w:p>
      <w:pPr>
        <w:pStyle w:val="Heading2"/>
        <w:spacing w:after="120" w:before="240" w:line="312"/>
      </w:pPr>
      <w:bookmarkStart w:id="100018" w:name="_Toc100018"/>
      <w:r>
        <w:rPr>
          <w:rFonts w:ascii="Calibri" w:eastAsia="SimHei"/>
          <w:b/>
          <w:bCs/>
          <w:color w:val="2C3E50"/>
          <w:sz w:val="28"/>
          <w:szCs w:val="28"/>
        </w:rPr>
        <w:t xml:space="preserve">4.3. Сравнительная таблица</w:t>
      </w:r>
      <w:bookmarkEnd w:id="100018"/>
    </w:p>
    <w:tbl>
      <w:tblPr>
        <w:tblW w:type="pct" w:w="100%"/>
        <w:tblBorders>
          <w:top w:val="single" w:color="E67E22" w:sz="2"/>
          <w:left w:val="none"/>
          <w:bottom w:val="single" w:color="E67E22" w:sz="2"/>
          <w:right w:val="none"/>
          <w:insideH w:val="single" w:color="D0D0D0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0%"/>
            <w:shd w:fill="2C3E5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Показатель</w:t>
            </w:r>
          </w:p>
        </w:tc>
        <w:tc>
          <w:tcPr>
            <w:tcW w:type="pct" w:w="30%"/>
            <w:shd w:fill="2C3E5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Сценарий А (ПФ-115+ГФ)</w:t>
            </w:r>
          </w:p>
        </w:tc>
        <w:tc>
          <w:tcPr>
            <w:tcW w:type="pct" w:w="30%"/>
            <w:shd w:fill="2C3E5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Сценарий Б (Титан)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Количество SKU (наружные/металл)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10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5–6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Замороженный капитал (тыс. руб.)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около 60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около 35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Складская площадь (м2)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10–15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5–8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Торговая площадь (полки)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3–4 полки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1–2 полки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Маржа на чек (средняя)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Низкая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Выше на 30–50%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Риск некондиции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Высокий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Низкий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Лояльность клиента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Низкая (ценовая)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Высокая (экспертная)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Конкуренция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Ценовая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Отсутствует</w:t>
            </w:r>
          </w:p>
        </w:tc>
      </w:tr>
    </w:tbl>
    <w:p>
      <w:pPr>
        <w:spacing w:after="100" w:before="100"/>
      </w:pPr>
      <w:r>
        <w:rPr>
          <w:rFonts w:ascii="Calibri" w:eastAsia="Microsoft YaHei"/>
          <w:i/>
          <w:iCs/>
          <w:color w:val="607080"/>
          <w:sz w:val="21"/>
          <w:szCs w:val="21"/>
        </w:rPr>
        <w:t xml:space="preserve">Таблица 1. Сравнение сценариев А и Б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Как видно из таблицы, сценарий Б даёт преимущество по каждому показателю. При этом не предполагается полного исключения ПФ-115 из ассортимента — он остаётся для внутренних работ и клиентов, которые не готовы к ТСО-расчёту. Но его доля в ассортименте снижается, а доля Титана растёт.</w:t>
      </w:r>
    </w:p>
    <w:p>
      <w:pPr>
        <w:pStyle w:val="Heading1"/>
        <w:spacing w:after="160" w:before="360" w:line="312"/>
      </w:pPr>
      <w:bookmarkStart w:id="100019" w:name="_Toc100019"/>
      <w:r>
        <w:rPr>
          <w:rFonts w:ascii="Calibri" w:eastAsia="SimHei"/>
          <w:b/>
          <w:bCs/>
          <w:color w:val="2C3E50"/>
          <w:sz w:val="32"/>
          <w:szCs w:val="32"/>
        </w:rPr>
        <w:t xml:space="preserve">5. Порядок внедрения</w:t>
      </w:r>
      <w:bookmarkEnd w:id="100019"/>
    </w:p>
    <w:p>
      <w:pPr>
        <w:pStyle w:val="Heading2"/>
        <w:spacing w:after="120" w:before="240" w:line="312"/>
      </w:pPr>
      <w:bookmarkStart w:id="100020" w:name="_Toc100020"/>
      <w:r>
        <w:rPr>
          <w:rFonts w:ascii="Calibri" w:eastAsia="SimHei"/>
          <w:b/>
          <w:bCs/>
          <w:color w:val="2C3E50"/>
          <w:sz w:val="28"/>
          <w:szCs w:val="28"/>
        </w:rPr>
        <w:t xml:space="preserve">5.1. Первый этап: пилотные продажи (1–2 месяца)</w:t>
      </w:r>
      <w:bookmarkEnd w:id="100020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Начать с внедрения Титана в 2–3 магазинах или у одного дистрибутора. Обучить продавцов методике ТСО, предоставить расчётные материалы и памятки. Зафиксировать результаты: конверсию, средний чек, отклики клиентов. Пилотные продажи позволят собрать реальные кейсы и цифры для дальнейшего масштабирования.</w:t>
      </w:r>
    </w:p>
    <w:p>
      <w:pPr>
        <w:pStyle w:val="Heading2"/>
        <w:spacing w:after="120" w:before="240" w:line="312"/>
      </w:pPr>
      <w:bookmarkStart w:id="100021" w:name="_Toc100021"/>
      <w:r>
        <w:rPr>
          <w:rFonts w:ascii="Calibri" w:eastAsia="SimHei"/>
          <w:b/>
          <w:bCs/>
          <w:color w:val="2C3E50"/>
          <w:sz w:val="28"/>
          <w:szCs w:val="28"/>
        </w:rPr>
        <w:t xml:space="preserve">5.2. Второй этап: оптимизация ассортимента (3–6 месяцев)</w:t>
      </w:r>
      <w:bookmarkEnd w:id="100021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На основе результатов пилота провести ревизию ассортимента: выделить SKU с низкой оборачиваемостью и маржой, которые можно заменить Титаном. Сократить модельный ряд на 5–7 SKU, оставив ПФ-115 только в наиболее востребованных цветах и фасовках. Переместить Титан на освободившиеся места в торговом зале, использовать POS-материалы с расчётом ТСО.</w:t>
      </w:r>
    </w:p>
    <w:p>
      <w:pPr>
        <w:pStyle w:val="Heading2"/>
        <w:spacing w:after="120" w:before="240" w:line="312"/>
      </w:pPr>
      <w:bookmarkStart w:id="100022" w:name="_Toc100022"/>
      <w:r>
        <w:rPr>
          <w:rFonts w:ascii="Calibri" w:eastAsia="SimHei"/>
          <w:b/>
          <w:bCs/>
          <w:color w:val="2C3E50"/>
          <w:sz w:val="28"/>
          <w:szCs w:val="28"/>
        </w:rPr>
        <w:t xml:space="preserve">5.3. Третий этап: масштабирование (6–12 месяцев)</w:t>
      </w:r>
      <w:bookmarkEnd w:id="100022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Распространить опыт на всю сеть. Обучить всех продавцов методике ТСО, внедрить стандартный процесс продажи Титана, запустить рекламные акции и мастер-классы для клиентов. Начать собирать отзывы и кейсы для создания банка доказательств, которые будут работать на продажи в дальнейшем. Масштабирование позволит максимально использовать все преимущества, описанные выше.</w:t>
      </w:r>
    </w:p>
    <w:p>
      <w:pPr>
        <w:pStyle w:val="Heading1"/>
        <w:spacing w:after="160" w:before="360" w:line="312"/>
      </w:pPr>
      <w:bookmarkStart w:id="100023" w:name="_Toc100023"/>
      <w:r>
        <w:rPr>
          <w:rFonts w:ascii="Calibri" w:eastAsia="SimHei"/>
          <w:b/>
          <w:bCs/>
          <w:color w:val="2C3E50"/>
          <w:sz w:val="32"/>
          <w:szCs w:val="32"/>
        </w:rPr>
        <w:t xml:space="preserve">6. Анализ рисков и митигация</w:t>
      </w:r>
      <w:bookmarkEnd w:id="100023"/>
    </w:p>
    <w:p>
      <w:pPr>
        <w:pStyle w:val="Heading2"/>
        <w:spacing w:after="120" w:before="240" w:line="312"/>
      </w:pPr>
      <w:bookmarkStart w:id="100024" w:name="_Toc100024"/>
      <w:r>
        <w:rPr>
          <w:rFonts w:ascii="Calibri" w:eastAsia="SimHei"/>
          <w:b/>
          <w:bCs/>
          <w:color w:val="2C3E50"/>
          <w:sz w:val="28"/>
          <w:szCs w:val="28"/>
        </w:rPr>
        <w:t xml:space="preserve">6.1. Риск: клиент не хочет платить больше</w:t>
      </w:r>
      <w:bookmarkEnd w:id="100024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Некоторые клиенты привыкли покупать по самой низкой цене и не готовы к расчёту ТСО. Митигация: не нужно убирать ПФ-115 полностью. Он остаётся для ценового сегмента, а Титан добавляется для тех, кто готов слушать расчёт. Методика ТСО не заменяет, а дополняет существующий подход, позволяя переводить часть клиентов в более выгодный ценовой сегмент постепенно.</w:t>
      </w:r>
    </w:p>
    <w:p>
      <w:pPr>
        <w:pStyle w:val="Heading2"/>
        <w:spacing w:after="120" w:before="240" w:line="312"/>
      </w:pPr>
      <w:bookmarkStart w:id="100025" w:name="_Toc100025"/>
      <w:r>
        <w:rPr>
          <w:rFonts w:ascii="Calibri" w:eastAsia="SimHei"/>
          <w:b/>
          <w:bCs/>
          <w:color w:val="2C3E50"/>
          <w:sz w:val="28"/>
          <w:szCs w:val="28"/>
        </w:rPr>
        <w:t xml:space="preserve">6.2. Риск: продавцы не умеют продавать по ТСО</w:t>
      </w:r>
      <w:bookmarkEnd w:id="100025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Продавцы привыкли продавать по цене и не имеют навыков экспертной продажи. Митигация: предоставить простые инструменты — калькулятор ТСО, памятку с речевыми шаблонами, обучающее видео. Начать с 2–3 наиболее мотивированных продавцов, показать их результаты остальным. Когда коллеги увидят, что Титан продаётся легче и с большей маржой, они сами захотят научиться.</w:t>
      </w:r>
    </w:p>
    <w:p>
      <w:pPr>
        <w:pStyle w:val="Heading2"/>
        <w:spacing w:after="120" w:before="240" w:line="312"/>
      </w:pPr>
      <w:bookmarkStart w:id="100026" w:name="_Toc100026"/>
      <w:r>
        <w:rPr>
          <w:rFonts w:ascii="Calibri" w:eastAsia="SimHei"/>
          <w:b/>
          <w:bCs/>
          <w:color w:val="2C3E50"/>
          <w:sz w:val="28"/>
          <w:szCs w:val="28"/>
        </w:rPr>
        <w:t xml:space="preserve">6.3. Риск: каннибализация продуктов</w:t>
      </w:r>
      <w:bookmarkEnd w:id="100026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Возможно, клиент купит Титан, но захочет купить и ПФ-115 для других задач, и общая выручка не вырастет. Митигация: Титан не конкурирует с ПФ-115 напрямую. Он заменяет комплект (преобразователь + ГФ + ПФ-115), а не отдельно взятый ПФ-115. Там, где клиент использовал только ПФ-115 без преобразователя и ГФ, он и продолжит их покупать. Каннибализация минимальна, поскольку целевые сегменты разные.</w:t>
      </w:r>
    </w:p>
    <w:p>
      <w:pPr>
        <w:pStyle w:val="Heading1"/>
        <w:spacing w:after="160" w:before="360" w:line="312"/>
      </w:pPr>
      <w:bookmarkStart w:id="100027" w:name="_Toc100027"/>
      <w:r>
        <w:rPr>
          <w:rFonts w:ascii="Calibri" w:eastAsia="SimHei"/>
          <w:b/>
          <w:bCs/>
          <w:color w:val="2C3E50"/>
          <w:sz w:val="32"/>
          <w:szCs w:val="32"/>
        </w:rPr>
        <w:t xml:space="preserve">7. Ожидаемые результаты для дистрибутора</w:t>
      </w:r>
      <w:bookmarkEnd w:id="100027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Включение Титана в ассортимент и продажа по методике ТСО даёт дистрибутору комплексный эффект, который не ограничивается продажей одного продукта. Системные преимущества включают сокращение модельного ряда, экономию складских и торговых площадей, снижение операционных издержек, рост маржи, повышение лояльности клиентов и конкурентное преимущество.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Главный принцип: Титан не конкурирует с существующим ассортиментом, а оптимизирует его. Дистрибутор не теряет клиентов, а переводит часть из низкомаржинального ценового сегмента в средний и высокий, где маржа выше, а клиент довольнен, потому что его реальные затраты снижаются. Это выигрышная стратегия для всех участников цепочки: производитель, дистрибутор и конечный потребитель.</w:t>
      </w:r>
    </w:p>
    <w:sectPr>
      <w:headerReference w:type="default" r:id="rId9"/>
      <w:footerReference w:type="default" r:id="rId10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eastAsia="Microsoft YaHei"/>
        <w:color w:val="607080"/>
        <w:sz w:val="18"/>
        <w:szCs w:val="18"/>
      </w:rPr>
      <w:t xml:space="preserve">Аргументы для дистрибуторов | Титан ТСО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eastAsia="Microsoft YaHei"/>
        <w:color w:val="607080"/>
        <w:sz w:val="18"/>
        <w:szCs w:val="18"/>
      </w:rPr>
      <w:t xml:space="preserve">Аргументы для дистрибуторов | Титан ТСО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Calibri" w:eastAsia="SimHei"/>
      <w:b/>
      <w:bCs/>
      <w:color w:val="2C3E5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312"/>
      <w:outlineLvl w:val="1"/>
    </w:pPr>
    <w:rPr>
      <w:rFonts w:ascii="Calibri" w:eastAsia="SimHei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 w:line="312"/>
      <w:outlineLvl w:val="2"/>
    </w:pPr>
    <w:rPr>
      <w:rFonts w:ascii="Calibri" w:eastAsia="SimHei"/>
      <w:b/>
      <w:bCs/>
      <w:color w:val="2C3E50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2026-06-22T10:20:40.489Z</dcterms:created>
  <dcterms:modified xsi:type="dcterms:W3CDTF">2026-06-22T10:20:40.489Z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