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Calibri" w:eastAsia="Microsoft YaHei"/>
          <w:b/>
          <w:bCs/>
          <w:color w:val="D4875A"/>
          <w:spacing w:val="40"/>
          <w:sz w:val="24"/>
          <w:szCs w:val="24"/>
        </w:rPr>
        <w:t xml:space="preserve">ЗАО «ЭМПИЛС»</w:t>
      </w:r>
    </w:p>
    <w:p>
      <w:pPr>
        <w:spacing w:after="100"/>
        <w:jc w:val="center"/>
      </w:pPr>
      <w:r>
        <w:rPr>
          <w:rFonts w:ascii="Calibri" w:eastAsia="Microsoft YaHei"/>
          <w:b/>
          <w:bCs/>
          <w:color w:val="1A2330"/>
          <w:sz w:val="44"/>
          <w:szCs w:val="44"/>
        </w:rPr>
        <w:t xml:space="preserve">ФРАНШИЗА TITAN</w:t>
      </w:r>
    </w:p>
    <w:p>
      <w:pPr>
        <w:spacing w:after="400"/>
        <w:jc w:val="center"/>
      </w:pPr>
      <w:r>
        <w:rPr>
          <w:rFonts w:ascii="Calibri" w:eastAsia="Microsoft YaHei"/>
          <w:i/>
          <w:iCs/>
          <w:color w:val="6B7280"/>
          <w:sz w:val="26"/>
          <w:szCs w:val="26"/>
        </w:rPr>
        <w:t xml:space="preserve">Программа работы с B2B-партнёрами</w:t>
      </w:r>
    </w:p>
    <w:p>
      <w:pPr>
        <w:pBdr>
          <w:top w:val="single" w:color="D4875A" w:sz="8" w:space="8"/>
        </w:pBdr>
        <w:spacing w:after="100"/>
        <w:jc w:val="center"/>
      </w:pPr>
    </w:p>
    <w:p>
      <w:pPr>
        <w:spacing w:after="300"/>
        <w:jc w:val="center"/>
      </w:pPr>
      <w:r>
        <w:rPr>
          <w:rFonts w:ascii="Calibri" w:eastAsia="Microsoft YaHei"/>
          <w:i/>
          <w:iCs/>
          <w:color w:val="D4875A"/>
          <w:sz w:val="22"/>
          <w:szCs w:val="22"/>
        </w:rPr>
        <w:t xml:space="preserve">«Дороже банка — дешевле покраска»</w:t>
      </w:r>
    </w:p>
    <w:p>
      <w:pPr>
        <w:spacing w:after="400"/>
        <w:jc w:val="center"/>
      </w:pPr>
      <w:r>
        <w:rPr>
          <w:rFonts w:ascii="Calibri" w:eastAsia="Microsoft YaHei"/>
          <w:color w:val="6B7280"/>
          <w:sz w:val="18"/>
          <w:szCs w:val="18"/>
        </w:rPr>
        <w:t xml:space="preserve">Ростов-на-Дону · 2026</w:t>
      </w:r>
    </w:p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1. О программе TITAN B2B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Программа TITAN B2B — это система работы с производителями металлоконструкций, строительными компаниями и промышленными предприятиями, которые используют грунт-эмали для защиты металла от коррозии. Программа построена на принципе совокупной стоимости владения (ССВ): TITAN стоит дороже за банку, но дешевле за год эксплуатации.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Главный принцип</w:t>
      </w:r>
      <w:r>
        <w:rPr>
          <w:rFonts w:ascii="Calibri" w:eastAsia="Microsoft YaHei"/>
          <w:color w:val="1F2937"/>
          <w:sz w:val="22"/>
          <w:szCs w:val="22"/>
        </w:rPr>
        <w:t xml:space="preserve"> — Мы продаём не банку краски, а решение, которое окупается за 1 год и служит 10 лет.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Целевая аудитория</w:t>
      </w:r>
      <w:r>
        <w:rPr>
          <w:rFonts w:ascii="Calibri" w:eastAsia="Microsoft YaHei"/>
          <w:color w:val="1F2937"/>
          <w:sz w:val="22"/>
          <w:szCs w:val="22"/>
        </w:rPr>
        <w:t xml:space="preserve"> — Производители металлоконструкций (беседки, заборы, ангары), строительные компании, промышленные предприятия (трубопроводы, резервуары), автосервисы.</w:t>
      </w:r>
    </w:p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2. Совокупная стоимость владения (ССВ)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Главный аргумент для B2B-клиента — расчёт совокупной стоимости владения. TITAN дороже при покупке, но дешевле при эксплуатации.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pct" w:w="3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ПФ-115 (конкурент)</w:t>
            </w:r>
          </w:p>
        </w:tc>
        <w:tc>
          <w:tcPr>
            <w:tcW w:type="pct" w:w="3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TITAN 3в1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Цена за банку (0,75 л)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~250 ₽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~494 ₽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Срок службы покрытия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 года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10 лет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Стоимость 1 года эксплуатации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~83 ₽/год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~49 ₽/год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Экономия за 10 лет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~340 ₽ на 1 банку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Затраты на перекраску за 10 лет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 перекраски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 перекрасок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Стоимость простоя/демонтажа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 × стоимость работ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Итог: TITAN дешевле в ___ раз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×2,6 по стоимости года</w:t>
            </w:r>
          </w:p>
        </w:tc>
      </w:tr>
    </w:tbl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3. Инструменты для привлечения B2B-партнёров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Что Эмпилс делает, чтобы B2B-партнёры захотели работать с TITAN.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pct" w:w="2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Инструмент</w:t>
            </w:r>
          </w:p>
        </w:tc>
        <w:tc>
          <w:tcPr>
            <w:tcW w:type="pct" w:w="5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pct" w:w="2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Доходность для дистрибьютора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Расчёт маржинальности B2B-канала. Демонстрируем, что работа с B2B-партнёрами выгодна — доходность выше, чем в рознице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Мотивация дистрибьютора продвигать B2B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Пробник TITAN 0,4 л (глянец)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Тестовый образец для B2B-партнёра. Малая фасовка — низкий порог входа. Партнёр пробует продукт без больших затрат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Снятие страха «куплю и не подойдёт»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Листовка для B2B-сегмента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Отдельная листовка с расчётом выгоды TITAN для B2B-клиента: срок службы 10 лет, ССВ, экономия vs ПФ-115. Фокус на окупаемость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Обоснование ценности для B2B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Смещение к крупной фасовке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B2B-клиенту выгоднее 8,5 л / 10 кг, чем 0,75 л. Дистрибьютор зарабатывает больше на крупной фасовке — мотивируем продвигать именно её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Максимальная маржа дистрибьютора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Региональный B2B-инфлюенсер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Выявление регионального лидера мнений в сфере B2B (производитель металлоконструкций, владелец цеха). Его рекомендация работает лучше рекламы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Доверительная рекомендация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Калькулятор маржинальности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Excel-калькулятор для дистрибьютора: вводит объём закупки и фасовку → получает расчёт прибыли по B2B-каналу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Прозрачность доходности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Прямой контакт с B2B-клиентом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Эмпилс подключается к переговорам дистрибьютора с B2B-клиентом. Техническая экспертиза, демо на объекте, расчёт ССВ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Поддержка на сложных сделках</w:t>
            </w:r>
          </w:p>
        </w:tc>
      </w:tr>
    </w:tbl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4. Фасовки и маржинальность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Для B2B-сегмента приоритет — крупная фасовка. Это даёт максимальную маржу дистрибьютору и минимальную стоимость покраски для B2B-клиента.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Фасовка</w:t>
            </w:r>
          </w:p>
        </w:tc>
        <w:tc>
          <w:tcPr>
            <w:tcW w:type="pct" w:w="1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Цена Эмпилс</w:t>
            </w:r>
          </w:p>
        </w:tc>
        <w:tc>
          <w:tcPr>
            <w:tcW w:type="pct" w:w="2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Маржа дистрибьютора (25%)</w:t>
            </w:r>
          </w:p>
        </w:tc>
        <w:tc>
          <w:tcPr>
            <w:tcW w:type="pct" w:w="2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Цена B2B-клиента</w:t>
            </w:r>
          </w:p>
        </w:tc>
        <w:tc>
          <w:tcPr>
            <w:tcW w:type="pct" w:w="2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Маржа на 1 банку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0,75 л (3в1)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494 ₽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124 ₽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617 ₽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Низкая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2 л (3в1)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1 273 ₽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318 ₽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1 591 ₽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0,8 кг (молотковая)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701 ₽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175 ₽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876 ₽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2,5 кг (молотковая)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2 076 ₽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519 ₽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2 595 ₽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8,5 л / 10 кг (B2B)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 прайсу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Максимальная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 согласованию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Максимальная</w:t>
            </w:r>
          </w:p>
        </w:tc>
      </w:tr>
    </w:tbl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Рекомендация</w:t>
      </w:r>
      <w:r>
        <w:rPr>
          <w:rFonts w:ascii="Calibri" w:eastAsia="Microsoft YaHei"/>
          <w:color w:val="1F2937"/>
          <w:sz w:val="22"/>
          <w:szCs w:val="22"/>
        </w:rPr>
        <w:t xml:space="preserve"> — Для B2B-канала — фокус на фасовки 2 л, 2,5 кг и 8,5 л. Это даёт максимальную абсолютную прибыль на единицу и снижает количество транзакций.</w:t>
      </w:r>
    </w:p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5. Портфолио B2B-объектов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Эмпилс предоставляет портфолио реальных объектов, где применялся TITAN, с расчётом экономических параметров.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Объект</w:t>
            </w:r>
          </w:p>
        </w:tc>
        <w:tc>
          <w:tcPr>
            <w:tcW w:type="pct" w:w="2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Продукт TITAN</w:t>
            </w:r>
          </w:p>
        </w:tc>
        <w:tc>
          <w:tcPr>
            <w:tcW w:type="pct" w:w="2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Площадь</w:t>
            </w:r>
          </w:p>
        </w:tc>
        <w:tc>
          <w:tcPr>
            <w:tcW w:type="pct" w:w="3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Экономия vs ПФ-115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Ворота (заборные)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~6 м²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2,6× за 10 лет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Дверь металлическая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Быстросохнущая эмаль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~2 м²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2,1× за 10 лет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Гараж металлический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~12 м²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2,6× за 10 лет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Трубы / резервуары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Грунт-эмаль 3в1 (пром.)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 проекту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 расчёту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Беседки / навесы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Грунт-эмаль 3в1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~4 м²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2,6× за 10 лет</w:t>
            </w:r>
          </w:p>
        </w:tc>
      </w:tr>
    </w:tbl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6. Этапы работы с B2B-партнёром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pct" w:w="1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Цель</w:t>
            </w:r>
          </w:p>
        </w:tc>
        <w:tc>
          <w:tcPr>
            <w:tcW w:type="pct" w:w="3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Что делает Эмпилс</w:t>
            </w:r>
          </w:p>
        </w:tc>
        <w:tc>
          <w:tcPr>
            <w:tcW w:type="pct" w:w="3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Что делает партнёр</w:t>
            </w:r>
          </w:p>
        </w:tc>
        <w:tc>
          <w:tcPr>
            <w:tcW w:type="pct" w:w="13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1 — Знакомство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Презентовать TITAN и расчёт ССВ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Визит к B2B-клиенту, передача пробника 0,4 л, листовки B2B, расчёт маржинальности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Тест продукта на своём объекте, оценка качества</w:t>
            </w:r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1-2 недели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2 — Пробная закупка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Первый заказ TITAN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Согласование фасовки и цены, техническая поддержка, расчёт ССВ под конкретный объект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Закупка пробной партии (крупная фасовка), нанесение на реальный объект</w:t>
            </w:r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2-4 недели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 — Регулярные поставки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Постоянное сотрудничество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Закрепление менеджера, техподдержка, регулярные перерасчёты ССВ, включение в портфолио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Регулярные закупки TITAN, рекомендация партнёрам, кейсы</w:t>
            </w:r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Постоянно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4 — Инфлюенсер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B2B-клиент рекомендует TITAN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Съёмка видеоотзыва, включение в портфолио, PR-поддержка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Публичная рекомендация TITAN, участие в кейсах Эмпилс</w:t>
            </w:r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6-12 месяцев</w:t>
            </w:r>
          </w:p>
        </w:tc>
      </w:tr>
    </w:tbl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7. Обязательства сторон</w:t>
      </w:r>
    </w:p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Эмпилс обязуется: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Поставлять продукцию TITAN в согласованные сроки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Предоставлять пробники 0,4 л и веерные выкрасы для тестирования — бесплатно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Предоставлять листовки B2B с расчётом ССВ — бесплатно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Обеспечивать техническую поддержку (расчёт ССВ под объект, консультации по нанесению)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Подключаться к переговорам с B2B-клиентами (техническая экспертиза, демо на объекте)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Назначить персонального менеджера для B2B-канала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Предоставлять калькулятор маржинальности (Excel)</w:t>
      </w:r>
    </w:p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B2B-партнёр / дистрибьютор обязуется: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Обеспечить приоритетное продвижение TITAN в B2B-сегменте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Использовать крупную фасовку (2 л, 2,5 кг, 8,5 л) как основную для B2B-канала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Соблюдать рекомендованные цены (допустимое отклонение ±__%)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Предоставлять обратную связь по качеству и применению TITAN на объектах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При достижении этапа 4 — согласовать съёмку видеоотзыва и включение в портфолио Эмпилс</w:t>
      </w:r>
    </w:p>
    <w:p>
      <w:pPr>
        <w:pBdr>
          <w:bottom w:val="single" w:color="D4875A" w:sz="6" w:space="1"/>
        </w:pBdr>
        <w:spacing w:after="120" w:before="120"/>
      </w:pPr>
    </w:p>
    <w:p>
      <w:pPr>
        <w:spacing w:after="100" w:before="400"/>
        <w:jc w:val="center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«Дороже банка — дешевле покраска»</w:t>
      </w:r>
    </w:p>
    <w:p>
      <w:pPr>
        <w:spacing w:after="200"/>
        <w:jc w:val="center"/>
      </w:pPr>
      <w:r>
        <w:rPr>
          <w:rFonts w:ascii="Calibri" w:eastAsia="Microsoft YaHei"/>
          <w:i/>
          <w:iCs/>
          <w:color w:val="6B7280"/>
          <w:sz w:val="18"/>
          <w:szCs w:val="18"/>
        </w:rPr>
        <w:t xml:space="preserve">B2B-портфолио TITAN — самый маржинальный канал дистрибьютора</w:t>
      </w:r>
    </w:p>
    <w:p>
      <w:pPr>
        <w:spacing w:after="100"/>
        <w:jc w:val="center"/>
      </w:pPr>
      <w:r>
        <w:rPr>
          <w:rFonts w:ascii="Calibri" w:eastAsia="Microsoft YaHei"/>
          <w:color w:val="6B7280"/>
          <w:sz w:val="16"/>
          <w:szCs w:val="16"/>
        </w:rPr>
        <w:t xml:space="preserve">ЗАО «Эмпилс» · г. Ростов-на-Дону · 2026</w:t>
      </w:r>
    </w:p>
    <w:sectPr>
      <w:headerReference w:type="default" r:id="rId7"/>
      <w:footerReference w:type="default" r:id="rId8"/>
      <w:pgSz w:w="11906" w:h="16838" w:orient="portrait"/>
      <w:pgMar w:top="1200" w:right="1134" w:bottom="120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808080"/>
        <w:sz w:val="16"/>
        <w:szCs w:val="16"/>
      </w:rPr>
      <w:t xml:space="preserve">Эмпилс · TITAN · Франшиза — B2B-партнёрам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F2937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Microsoft YaHei"/>
      <w:b/>
      <w:bCs/>
      <w:color w:val="1A233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eastAsia="Microsoft YaHei"/>
      <w:b/>
      <w:bCs/>
      <w:color w:val="1A233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Франшиза TITAN — Программа работы с B2B-партнёрами</dc:title>
  <dc:creator>ЗАО Эмпилс</dc:creator>
  <cp:lastModifiedBy>Un-named</cp:lastModifiedBy>
  <cp:revision>1</cp:revision>
  <dcterms:created xsi:type="dcterms:W3CDTF">2026-08-20T13:14:57.778Z</dcterms:created>
  <dcterms:modified xsi:type="dcterms:W3CDTF">2026-08-20T13:14:57.778Z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