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 w:line="280"/>
        <w:jc w:val="left"/>
      </w:pPr>
      <w:r>
        <w:rPr>
          <w:rFonts w:ascii="Calibri" w:eastAsia="Calibri"/>
          <w:i/>
          <w:iCs/>
          <w:color w:val="595959"/>
          <w:sz w:val="20"/>
          <w:szCs w:val="20"/>
        </w:rPr>
        <w:t xml:space="preserve">Справка подготовлена для внутреннего использования коммерческой службой Эмпилс.</w:t>
      </w:r>
    </w:p>
    <w:p>
      <w:pPr>
        <w:spacing w:after="240" w:before="0" w:line="280"/>
        <w:jc w:val="left"/>
      </w:pPr>
      <w:r>
        <w:rPr>
          <w:rFonts w:ascii="Calibri" w:eastAsia="Calibri"/>
          <w:i/>
          <w:iCs/>
          <w:color w:val="595959"/>
          <w:sz w:val="20"/>
          <w:szCs w:val="20"/>
        </w:rPr>
        <w:t xml:space="preserve">Цель: сбор фактических данных по контрагенту ООО «Вертикаль» для подготовки к повторным переговорам, намеченным на сентябрь 2026 г.</w:t>
      </w:r>
    </w:p>
    <w:p>
      <w:pPr>
        <w:pBdr>
          <w:bottom w:val="single" w:color="1F4E79" w:sz="6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 w:line="312"/>
      </w:pPr>
      <w:r>
        <w:rPr>
          <w:rFonts w:ascii="Calibri" w:eastAsia="Calibri"/>
          <w:b/>
          <w:bCs/>
          <w:color w:val="1F4E79"/>
          <w:sz w:val="32"/>
          <w:szCs w:val="32"/>
        </w:rPr>
        <w:t xml:space="preserve">1. Краткая справка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ООО «Вертикаль» (ИНН 5027161766) — </w:t>
      </w:r>
      <w:r>
        <w:rPr>
          <w:rFonts w:ascii="Calibri" w:eastAsia="Calibri"/>
          <w:b/>
          <w:bCs/>
          <w:i w:val="false"/>
          <w:iCs w:val="false"/>
          <w:color w:val="1F4E79"/>
          <w:sz w:val="22"/>
          <w:szCs w:val="22"/>
        </w:rPr>
        <w:t xml:space="preserve">крупнейший российский дистрибьютор товаров для строительства и обустройства дома</w:t>
      </w:r>
      <w:r>
        <w:rPr>
          <w:rFonts w:ascii="Calibri" w:eastAsia="Calibri"/>
          <w:color w:val="1A1A1A"/>
          <w:sz w:val="22"/>
          <w:szCs w:val="22"/>
        </w:rPr>
        <w:t xml:space="preserve">, работающий с 1996 года (30 лет на рынке). По данным сайта компании, в ассортименте более 35 000 товарных позиций, 7 региональных складов, свыше 900 сотрудников и 20 000 активных покупателей. География присутствия — от Москвы до Урала. По информации из внутренней CRM-карточки, выручка компании за 2025 год составила порядка 12 млрд руб.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Юридическое лицо зарегистрировано в г. Обнинск Калужской области (</w:t>
      </w:r>
      <w:r>
        <w:rPr>
          <w:rFonts w:ascii="Calibri" w:eastAsia="Calibri"/>
          <w:b/>
          <w:bCs/>
          <w:i w:val="false"/>
          <w:iCs w:val="false"/>
          <w:color w:val="1A1A1A"/>
          <w:sz w:val="22"/>
          <w:szCs w:val="22"/>
        </w:rPr>
        <w:t xml:space="preserve">адрес: ул. Курсатова, 31А, помещ. 7, офис 3</w:t>
      </w:r>
      <w:r>
        <w:rPr>
          <w:rFonts w:ascii="Calibri" w:eastAsia="Calibri"/>
          <w:color w:val="1A1A1A"/>
          <w:sz w:val="22"/>
          <w:szCs w:val="22"/>
        </w:rPr>
        <w:t xml:space="preserve">). Единственный учредитель и генеральный директор — </w:t>
      </w:r>
      <w:r>
        <w:rPr>
          <w:rFonts w:ascii="Calibri" w:eastAsia="Calibri"/>
          <w:b/>
          <w:bCs/>
          <w:i w:val="false"/>
          <w:iCs w:val="false"/>
          <w:color w:val="1A1A1A"/>
          <w:sz w:val="22"/>
          <w:szCs w:val="22"/>
        </w:rPr>
        <w:t xml:space="preserve">Евдоков Владимир Иванович</w:t>
      </w:r>
      <w:r>
        <w:rPr>
          <w:rFonts w:ascii="Calibri" w:eastAsia="Calibri"/>
          <w:color w:val="1A1A1A"/>
          <w:sz w:val="22"/>
          <w:szCs w:val="22"/>
        </w:rPr>
        <w:t xml:space="preserve"> (гражданин РФ, ИНН 772902204680, доля 100%). Уставный капитал — 25 000 руб. Основной ОКВЭД с 10.04.2026: 46.73.4 «Торговля оптовая лакокрасочными материалами».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Ключевой ЛПР со стороны «Вертикали» для переговоров с Эмпилс — </w:t>
      </w:r>
      <w:r>
        <w:rPr>
          <w:rFonts w:ascii="Calibri" w:eastAsia="Calibri"/>
          <w:b/>
          <w:bCs/>
          <w:i w:val="false"/>
          <w:iCs w:val="false"/>
          <w:color w:val="C00000"/>
          <w:sz w:val="22"/>
          <w:szCs w:val="22"/>
        </w:rPr>
        <w:t xml:space="preserve">Юрий Григорьевский, руководитель отдела продаж</w:t>
      </w:r>
      <w:r>
        <w:rPr>
          <w:rFonts w:ascii="Calibri" w:eastAsia="Calibri"/>
          <w:color w:val="1A1A1A"/>
          <w:sz w:val="22"/>
          <w:szCs w:val="22"/>
        </w:rPr>
        <w:t xml:space="preserve"> (тел. 8 903 030-29-65, e-mail: grigoryevsky@vertical.ru). Последняя встреча — 01.03.2026; клиент рассмотрел коммерческое предложение, возражение: «на сезон 2026 г. новых контрактов не заключают», договорились о повторных переговорах в сентябре 2026 г.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Компания работает с брендами </w:t>
      </w:r>
      <w:r>
        <w:rPr>
          <w:rFonts w:ascii="Calibri" w:eastAsia="Calibri"/>
          <w:b/>
          <w:bCs/>
          <w:i w:val="false"/>
          <w:iCs w:val="false"/>
          <w:color w:val="1A1A1A"/>
          <w:sz w:val="22"/>
          <w:szCs w:val="22"/>
        </w:rPr>
        <w:t xml:space="preserve">Лакра, Текс, Рогнеда (основной ЛКМ-ассортимент), Профилюкс, Новоколор (дополнительный)</w:t>
      </w:r>
      <w:r>
        <w:rPr>
          <w:rFonts w:ascii="Calibri" w:eastAsia="Calibri"/>
          <w:color w:val="1A1A1A"/>
          <w:sz w:val="22"/>
          <w:szCs w:val="22"/>
        </w:rPr>
        <w:t xml:space="preserve">. На сайте vertical.ru в каталоге ЛКМ представлены 6 944 SKU, среди крупнейших по объёму брендов — ABC Farben (708 SKU), Акватекс (261 SKU), Альфа (79 SKU). У компании есть </w:t>
      </w:r>
      <w:r>
        <w:rPr>
          <w:rFonts w:ascii="Calibri" w:eastAsia="Calibri"/>
          <w:b/>
          <w:bCs/>
          <w:i w:val="false"/>
          <w:iCs w:val="false"/>
          <w:color w:val="C00000"/>
          <w:sz w:val="22"/>
          <w:szCs w:val="22"/>
        </w:rPr>
        <w:t xml:space="preserve">собственная торговая марка V</w:t>
      </w:r>
      <w:r>
        <w:rPr>
          <w:rFonts w:ascii="Calibri" w:eastAsia="Calibri"/>
          <w:color w:val="1A1A1A"/>
          <w:sz w:val="22"/>
          <w:szCs w:val="22"/>
        </w:rPr>
        <w:t xml:space="preserve"> (например, грунт-эмаль 3 в 1 V, клеи для обоев V), а также собственная розничная сеть магазинов «ДомДом».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Заинтересованность клиента: возможность изготовления </w:t>
      </w:r>
      <w:r>
        <w:rPr>
          <w:rFonts w:ascii="Calibri" w:eastAsia="Calibri"/>
          <w:b/>
          <w:bCs/>
          <w:i w:val="false"/>
          <w:iCs w:val="false"/>
          <w:color w:val="C00000"/>
          <w:sz w:val="22"/>
          <w:szCs w:val="22"/>
        </w:rPr>
        <w:t xml:space="preserve">дешёвой собственной торговой марки</w:t>
      </w:r>
      <w:r>
        <w:rPr>
          <w:rFonts w:ascii="Calibri" w:eastAsia="Calibri"/>
          <w:color w:val="1A1A1A"/>
          <w:sz w:val="22"/>
          <w:szCs w:val="22"/>
        </w:rPr>
        <w:t xml:space="preserve"> и разведение ассортимента на непересекающиеся наименования с уже работающим на территории дистрибьютором. Это открывает для Эмпилс два чётких направления захода: СТМ-партнёрство и ассортиментная дополняемость.</w:t>
      </w:r>
    </w:p>
    <w:p>
      <w:pPr>
        <w:pStyle w:val="Heading1"/>
        <w:spacing w:after="180" w:before="360" w:line="312"/>
      </w:pPr>
      <w:r>
        <w:rPr>
          <w:rFonts w:ascii="Calibri" w:eastAsia="Calibri"/>
          <w:b/>
          <w:bCs/>
          <w:color w:val="1F4E79"/>
          <w:sz w:val="32"/>
          <w:szCs w:val="32"/>
        </w:rPr>
        <w:t xml:space="preserve">2. Общие сведения о компании</w:t>
      </w:r>
    </w:p>
    <w:p>
      <w:pPr>
        <w:pStyle w:val="Heading2"/>
        <w:spacing w:after="140" w:before="280" w:line="312"/>
      </w:pPr>
      <w:r>
        <w:rPr>
          <w:rFonts w:ascii="Calibri" w:eastAsia="Calibri"/>
          <w:b/>
          <w:bCs/>
          <w:color w:val="1F4E79"/>
          <w:sz w:val="28"/>
          <w:szCs w:val="28"/>
        </w:rPr>
        <w:t xml:space="preserve">2.1. Реквизиты юридического лица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Сведения приведены по официальной выписке из ЕГРЮЛ, полученной на сервисе ФНС egrul.nalog.ru по состоянию на 21.10.2026.</w:t>
      </w:r>
    </w:p>
    <w:tbl>
      <w:tblPr>
        <w:tblW w:type="pct" w:w="500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D0D0D0" w:sz="1"/>
          <w:insideV w:val="single" w:color="D0D0D0" w:sz="1"/>
        </w:tblBorders>
      </w:tblPr>
      <w:tblGrid>
        <w:gridCol w:w="3076"/>
        <w:gridCol w:w="5712"/>
      </w:tblGrid>
      <w:tr>
        <w:trPr>
          <w:cantSplit/>
          <w:tblHeader/>
        </w:trPr>
        <w:tc>
          <w:tcPr>
            <w:tcW w:type="pct" w:w="175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Показатель</w:t>
            </w:r>
          </w:p>
        </w:tc>
        <w:tc>
          <w:tcPr>
            <w:tcW w:type="pct" w:w="325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1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Полное наименование</w:t>
            </w:r>
          </w:p>
        </w:tc>
        <w:tc>
          <w:tcPr>
            <w:tcW w:type="pct" w:w="3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Общество с ограниченной ответственностью «Вертикаль»</w:t>
            </w:r>
          </w:p>
        </w:tc>
      </w:tr>
      <w:tr>
        <w:trPr>
          <w:cantSplit/>
        </w:trPr>
        <w:tc>
          <w:tcPr>
            <w:tcW w:type="pct" w:w="1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Сокращённое наименование</w:t>
            </w:r>
          </w:p>
        </w:tc>
        <w:tc>
          <w:tcPr>
            <w:tcW w:type="pct" w:w="3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ООО «Вертикаль»</w:t>
            </w:r>
          </w:p>
        </w:tc>
      </w:tr>
      <w:tr>
        <w:trPr>
          <w:cantSplit/>
        </w:trPr>
        <w:tc>
          <w:tcPr>
            <w:tcW w:type="pct" w:w="1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ОГРН</w:t>
            </w:r>
          </w:p>
        </w:tc>
        <w:tc>
          <w:tcPr>
            <w:tcW w:type="pct" w:w="3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1105027005874</w:t>
            </w:r>
          </w:p>
        </w:tc>
      </w:tr>
      <w:tr>
        <w:trPr>
          <w:cantSplit/>
        </w:trPr>
        <w:tc>
          <w:tcPr>
            <w:tcW w:type="pct" w:w="1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ИНН</w:t>
            </w:r>
          </w:p>
        </w:tc>
        <w:tc>
          <w:tcPr>
            <w:tcW w:type="pct" w:w="3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5027161766</w:t>
            </w:r>
          </w:p>
        </w:tc>
      </w:tr>
      <w:tr>
        <w:trPr>
          <w:cantSplit/>
        </w:trPr>
        <w:tc>
          <w:tcPr>
            <w:tcW w:type="pct" w:w="1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КПП</w:t>
            </w:r>
          </w:p>
        </w:tc>
        <w:tc>
          <w:tcPr>
            <w:tcW w:type="pct" w:w="3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402501001</w:t>
            </w:r>
          </w:p>
        </w:tc>
      </w:tr>
      <w:tr>
        <w:trPr>
          <w:cantSplit/>
        </w:trPr>
        <w:tc>
          <w:tcPr>
            <w:tcW w:type="pct" w:w="1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Дата регистрации</w:t>
            </w:r>
          </w:p>
        </w:tc>
        <w:tc>
          <w:tcPr>
            <w:tcW w:type="pct" w:w="3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04.05.2010 (создание юридического лица)</w:t>
            </w:r>
          </w:p>
        </w:tc>
      </w:tr>
      <w:tr>
        <w:trPr>
          <w:cantSplit/>
        </w:trPr>
        <w:tc>
          <w:tcPr>
            <w:tcW w:type="pct" w:w="1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Регистрирующий орган</w:t>
            </w:r>
          </w:p>
        </w:tc>
        <w:tc>
          <w:tcPr>
            <w:tcW w:type="pct" w:w="3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Управление Федеральной налоговой службы по Калужской области</w:t>
            </w:r>
          </w:p>
        </w:tc>
      </w:tr>
      <w:tr>
        <w:trPr>
          <w:cantSplit/>
        </w:trPr>
        <w:tc>
          <w:tcPr>
            <w:tcW w:type="pct" w:w="1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Юридический адрес</w:t>
            </w:r>
          </w:p>
        </w:tc>
        <w:tc>
          <w:tcPr>
            <w:tcW w:type="pct" w:w="3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249032, Калужская область,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г. Обнинск, ул. Курсатова, д. 31А,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помещ. 7, офис 3</w:t>
            </w:r>
          </w:p>
        </w:tc>
      </w:tr>
      <w:tr>
        <w:trPr>
          <w:cantSplit/>
        </w:trPr>
        <w:tc>
          <w:tcPr>
            <w:tcW w:type="pct" w:w="1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Уставный капитал</w:t>
            </w:r>
          </w:p>
        </w:tc>
        <w:tc>
          <w:tcPr>
            <w:tcW w:type="pct" w:w="3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25 000 руб.</w:t>
            </w:r>
          </w:p>
        </w:tc>
      </w:tr>
      <w:tr>
        <w:trPr>
          <w:cantSplit/>
        </w:trPr>
        <w:tc>
          <w:tcPr>
            <w:tcW w:type="pct" w:w="1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Основной ОКВЭД</w:t>
            </w:r>
          </w:p>
        </w:tc>
        <w:tc>
          <w:tcPr>
            <w:tcW w:type="pct" w:w="3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46.73.4 — Торговля оптовая лакокрасочными материалами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(изменён 10.04.2026 — это указывает на недавнюю стратегическую переориентацию на ЛКМ)</w:t>
            </w:r>
          </w:p>
        </w:tc>
      </w:tr>
      <w:tr>
        <w:trPr>
          <w:cantSplit/>
        </w:trPr>
        <w:tc>
          <w:tcPr>
            <w:tcW w:type="pct" w:w="1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Дополнительные ОКВЭД</w:t>
            </w:r>
          </w:p>
        </w:tc>
        <w:tc>
          <w:tcPr>
            <w:tcW w:type="pct" w:w="3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26 кодов — см. раздел 2.3</w:t>
            </w:r>
          </w:p>
        </w:tc>
      </w:tr>
      <w:tr>
        <w:trPr>
          <w:cantSplit/>
        </w:trPr>
        <w:tc>
          <w:tcPr>
            <w:tcW w:type="pct" w:w="1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Регистрация в ПФР/ФСС</w:t>
            </w:r>
          </w:p>
        </w:tc>
        <w:tc>
          <w:tcPr>
            <w:tcW w:type="pct" w:w="3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Рег. № 1018718740 (СФР по Калужской области)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Дата постановки на учёт: 19.06.2018</w:t>
            </w:r>
          </w:p>
        </w:tc>
      </w:tr>
    </w:tbl>
    <w:p>
      <w:pPr>
        <w:spacing w:after="200" w:before="80" w:line="280"/>
        <w:jc w:val="left"/>
      </w:pPr>
      <w:r>
        <w:rPr>
          <w:rFonts w:ascii="Calibri" w:eastAsia="Calibri"/>
          <w:i/>
          <w:iCs/>
          <w:color w:val="595959"/>
          <w:sz w:val="18"/>
          <w:szCs w:val="18"/>
        </w:rPr>
        <w:t xml:space="preserve">Источник: выписка из ЕГРЮЛ, egrul.nalog.ru, 21.10.2026.</w:t>
      </w:r>
    </w:p>
    <w:p>
      <w:pPr>
        <w:pStyle w:val="Heading2"/>
        <w:spacing w:after="140" w:before="280" w:line="312"/>
      </w:pPr>
      <w:r>
        <w:rPr>
          <w:rFonts w:ascii="Calibri" w:eastAsia="Calibri"/>
          <w:b/>
          <w:bCs/>
          <w:color w:val="1F4E79"/>
          <w:sz w:val="28"/>
          <w:szCs w:val="28"/>
        </w:rPr>
        <w:t xml:space="preserve">2.2. Что за компания и история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По данным собственного сайта vertical.ru, «Вертикаль» позиционирует себя как крупнейший в России дистрибьютор товаров для строительства и обустройства дома. В 2026 году компания отметила 30-летие: фактическая деятельность началась в 1996 году, тогда как текущее юридическое лицо ООО «Вертикаль» зарегистрировано в 2010 году. Это означает, что бизнес существует как минимум 30 лет, причём в разные периоды он мог быть оформлен через другие юридические лица (например, ИП или ранее действовавшее ООО).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Миссия компании: </w:t>
      </w:r>
      <w:r>
        <w:rPr>
          <w:rFonts w:ascii="Calibri" w:eastAsia="Calibri"/>
          <w:b w:val="false"/>
          <w:bCs w:val="false"/>
          <w:i/>
          <w:iCs/>
          <w:color w:val="1A1A1A"/>
          <w:sz w:val="22"/>
          <w:szCs w:val="22"/>
        </w:rPr>
        <w:t xml:space="preserve">«создавать уют в вашем доме»</w:t>
      </w:r>
      <w:r>
        <w:rPr>
          <w:rFonts w:ascii="Calibri" w:eastAsia="Calibri"/>
          <w:color w:val="1A1A1A"/>
          <w:sz w:val="22"/>
          <w:szCs w:val="22"/>
        </w:rPr>
        <w:t xml:space="preserve">. Специализация — лакокрасочные и строительные материалы, ручной инструмент, садовый инвентарь, товары для дома, бытовая химия. На старте в 1996 году ассортимент на 70% состоял из ЛКМ, сухих строительных смесей и ручного инструмента; 30% приходилось на сопутствующие товары. По состоянию на 2026 год доля ЛКМ остаётся ключевой — в каталоге 6 944 позиции ЛКМ из 35 000 общего ассортимента (около 20% всех SKU).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Ключевые этапы развития компании:</w:t>
      </w:r>
    </w:p>
    <w:tbl>
      <w:tblPr>
        <w:tblW w:type="pct" w:w="500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D0D0D0" w:sz="1"/>
          <w:insideV w:val="single" w:color="D0D0D0" w:sz="1"/>
        </w:tblBorders>
      </w:tblPr>
      <w:tblGrid>
        <w:gridCol w:w="879"/>
        <w:gridCol w:w="2636"/>
        <w:gridCol w:w="5273"/>
      </w:tblGrid>
      <w:tr>
        <w:trPr>
          <w:cantSplit/>
          <w:tblHeader/>
        </w:trPr>
        <w:tc>
          <w:tcPr>
            <w:tcW w:type="pct" w:w="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Год</w:t>
            </w:r>
          </w:p>
        </w:tc>
        <w:tc>
          <w:tcPr>
            <w:tcW w:type="pct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pct" w:w="3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Ключевое содержание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1996</w:t>
            </w:r>
          </w:p>
        </w:tc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Становление</w:t>
            </w:r>
          </w:p>
        </w:tc>
        <w:tc>
          <w:tcPr>
            <w:tcW w:type="pct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Запуск бизнеса. 70% ассортимента — ЛКМ, сухие смеси, ручной инструмент; 30% — сопутствующие товары. Развитие за счёт увеличения доли рынка.</w:t>
            </w:r>
          </w:p>
        </w:tc>
      </w:tr>
      <w:tr>
        <w:trPr>
          <w:cantSplit/>
        </w:trPr>
        <w:tc>
          <w:tcPr>
            <w:tcW w:type="pct" w:w="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2003</w:t>
            </w:r>
          </w:p>
        </w:tc>
        <w:tc>
          <w:tcPr>
            <w:tcW w:type="pct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Успешное развитие</w:t>
            </w:r>
          </w:p>
        </w:tc>
        <w:tc>
          <w:tcPr>
            <w:tcW w:type="pct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Сформированная клиентская база. Активное расширение через торговых представителей. Бесплатная доставка. Внедрение кредитования и отсрочки платежа. Расширение географии по РФ.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2008</w:t>
            </w:r>
          </w:p>
        </w:tc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Расширение ассортимента</w:t>
            </w:r>
          </w:p>
        </w:tc>
        <w:tc>
          <w:tcPr>
            <w:tcW w:type="pct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Доля хозтоваров доведена до 20%, товаров для дома и сада — до 15%. Открытие новых складов (кросс-док). География — до 1 000 км. Запуск СТМ, ротация ассортимента.</w:t>
            </w:r>
          </w:p>
        </w:tc>
      </w:tr>
      <w:tr>
        <w:trPr>
          <w:cantSplit/>
        </w:trPr>
        <w:tc>
          <w:tcPr>
            <w:tcW w:type="pct" w:w="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2019</w:t>
            </w:r>
          </w:p>
        </w:tc>
        <w:tc>
          <w:tcPr>
            <w:tcW w:type="pct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Инновации и рост</w:t>
            </w:r>
          </w:p>
        </w:tc>
        <w:tc>
          <w:tcPr>
            <w:tcW w:type="pct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Развитие DIY-сети и e-commerce. Запуск направления «Тендеры». Внедрение CRM. Развитие онлайн-кабинета. Запуск розничной сети магазинов «ДомДом».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2021</w:t>
            </w:r>
          </w:p>
        </w:tc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Расширение направлений</w:t>
            </w:r>
          </w:p>
        </w:tc>
        <w:tc>
          <w:tcPr>
            <w:tcW w:type="pct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Ассортимент расширен до 23 000 SKU. Развитие направлений бытовой техники, химии, посуды, текстиля, мебели. Укрепление портфеля СТМ в ЛКМ, инструменте, товарах для сада.</w:t>
            </w:r>
          </w:p>
        </w:tc>
      </w:tr>
      <w:tr>
        <w:trPr>
          <w:cantSplit/>
        </w:trPr>
        <w:tc>
          <w:tcPr>
            <w:tcW w:type="pct" w:w="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2024</w:t>
            </w:r>
          </w:p>
        </w:tc>
        <w:tc>
          <w:tcPr>
            <w:tcW w:type="pct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Цифровой сервис</w:t>
            </w:r>
          </w:p>
        </w:tc>
        <w:tc>
          <w:tcPr>
            <w:tcW w:type="pct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Партнёрская конференция. Личным кабинетом пользуются более 5 000 клиентов. Объединение цифрового сервиса с поддержкой менеджеров и торговых представителей.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2026</w:t>
            </w:r>
          </w:p>
        </w:tc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30 лет компании</w:t>
            </w:r>
          </w:p>
        </w:tc>
        <w:tc>
          <w:tcPr>
            <w:tcW w:type="pct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Ассортимент — 35 000 SKU. Прирост выручки: e-commerce +26%, профессиональный канал +21%, направление торговых сетей +11%. 10.04.2026 изменён основной ОКВЭД на «Торговля оптовая лакокрасочными материалами».</w:t>
            </w:r>
          </w:p>
        </w:tc>
      </w:tr>
    </w:tbl>
    <w:p>
      <w:pPr>
        <w:spacing w:after="200" w:before="80" w:line="280"/>
        <w:jc w:val="left"/>
      </w:pPr>
      <w:r>
        <w:rPr>
          <w:rFonts w:ascii="Calibri" w:eastAsia="Calibri"/>
          <w:i/>
          <w:iCs/>
          <w:color w:val="595959"/>
          <w:sz w:val="18"/>
          <w:szCs w:val="18"/>
        </w:rPr>
        <w:t xml:space="preserve">Источник: страница «О компании» сайта vertical.ru/company.</w:t>
      </w:r>
    </w:p>
    <w:p>
      <w:pPr>
        <w:pStyle w:val="Heading2"/>
        <w:spacing w:after="140" w:before="280" w:line="312"/>
      </w:pPr>
      <w:r>
        <w:rPr>
          <w:rFonts w:ascii="Calibri" w:eastAsia="Calibri"/>
          <w:b/>
          <w:bCs/>
          <w:color w:val="1F4E79"/>
          <w:sz w:val="28"/>
          <w:szCs w:val="28"/>
        </w:rPr>
        <w:t xml:space="preserve">2.3. Виды экономической деятельности (ОКВЭД)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У компании 26 дополнительных кодов ОКВЭД, что отражает диверсифицированную модель бизнеса: оптовая и розничная торговля по широкому спектру товарных групп, логистика и складирование, реклама, исследования рынка, аренда нежилой недвижимости. Это даёт компании гибкость и объясняет, почему в каталоге 35 000 SKU по 22 товарным категориям.</w:t>
      </w:r>
    </w:p>
    <w:tbl>
      <w:tblPr>
        <w:tblW w:type="pct" w:w="500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D0D0D0" w:sz="1"/>
          <w:insideV w:val="single" w:color="D0D0D0" w:sz="1"/>
        </w:tblBorders>
      </w:tblPr>
      <w:tblGrid>
        <w:gridCol w:w="1318"/>
        <w:gridCol w:w="7470"/>
      </w:tblGrid>
      <w:tr>
        <w:trPr>
          <w:cantSplit/>
          <w:tblHeader/>
        </w:trPr>
        <w:tc>
          <w:tcPr>
            <w:tcW w:type="pct" w:w="75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Код ОКВЭД</w:t>
            </w:r>
          </w:p>
        </w:tc>
        <w:tc>
          <w:tcPr>
            <w:tcW w:type="pct" w:w="425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Наименование вида деятельности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C00000"/>
                <w:sz w:val="22"/>
                <w:szCs w:val="22"/>
              </w:rPr>
              <w:t xml:space="preserve">46.73.4</w:t>
            </w:r>
          </w:p>
        </w:tc>
        <w:tc>
          <w:tcPr>
            <w:tcW w:type="pct" w:w="4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C00000"/>
                <w:sz w:val="22"/>
                <w:szCs w:val="22"/>
              </w:rPr>
              <w:t xml:space="preserve">Торговля оптовая лакокрасочными материалами — ОСНОВНОЙ (с 10.04.2026)</w:t>
            </w:r>
          </w:p>
        </w:tc>
      </w:tr>
      <w:tr>
        <w:trPr>
          <w:cantSplit/>
        </w:trPr>
        <w:tc>
          <w:tcPr>
            <w:tcW w:type="pct" w:w="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68.20.29</w:t>
            </w:r>
          </w:p>
        </w:tc>
        <w:tc>
          <w:tcPr>
            <w:tcW w:type="pct" w:w="4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Аренда и управление собственным или арендованным прочим нежилым недвижимым имуществом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46.13.2</w:t>
            </w:r>
          </w:p>
        </w:tc>
        <w:tc>
          <w:tcPr>
            <w:tcW w:type="pct" w:w="4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Деятельность агентов по оптовой торговле строительными материалами</w:t>
            </w:r>
          </w:p>
        </w:tc>
      </w:tr>
      <w:tr>
        <w:trPr>
          <w:cantSplit/>
        </w:trPr>
        <w:tc>
          <w:tcPr>
            <w:tcW w:type="pct" w:w="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46.73.6</w:t>
            </w:r>
          </w:p>
        </w:tc>
        <w:tc>
          <w:tcPr>
            <w:tcW w:type="pct" w:w="4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Торговля оптовая прочими строительными материалами и изделиями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46.74.1</w:t>
            </w:r>
          </w:p>
        </w:tc>
        <w:tc>
          <w:tcPr>
            <w:tcW w:type="pct" w:w="4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Торговля оптовая скобяными изделиями</w:t>
            </w:r>
          </w:p>
        </w:tc>
      </w:tr>
      <w:tr>
        <w:trPr>
          <w:cantSplit/>
        </w:trPr>
        <w:tc>
          <w:tcPr>
            <w:tcW w:type="pct" w:w="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46.74.3</w:t>
            </w:r>
          </w:p>
        </w:tc>
        <w:tc>
          <w:tcPr>
            <w:tcW w:type="pct" w:w="4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Торговля оптовая ручными инструментами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46.90</w:t>
            </w:r>
          </w:p>
        </w:tc>
        <w:tc>
          <w:tcPr>
            <w:tcW w:type="pct" w:w="4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Торговля оптовая неспециализированная</w:t>
            </w:r>
          </w:p>
        </w:tc>
      </w:tr>
      <w:tr>
        <w:trPr>
          <w:cantSplit/>
        </w:trPr>
        <w:tc>
          <w:tcPr>
            <w:tcW w:type="pct" w:w="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47.52</w:t>
            </w:r>
          </w:p>
        </w:tc>
        <w:tc>
          <w:tcPr>
            <w:tcW w:type="pct" w:w="4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Торговля розничная скобяными изделиями, лакокрасочными материалами и стеклом в специализированных магазинах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47.91</w:t>
            </w:r>
          </w:p>
        </w:tc>
        <w:tc>
          <w:tcPr>
            <w:tcW w:type="pct" w:w="4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Торговля розничная по почте или по информационно-коммуникационной сети Интернет</w:t>
            </w:r>
          </w:p>
        </w:tc>
      </w:tr>
      <w:tr>
        <w:trPr>
          <w:cantSplit/>
        </w:trPr>
        <w:tc>
          <w:tcPr>
            <w:tcW w:type="pct" w:w="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52.10.9</w:t>
            </w:r>
          </w:p>
        </w:tc>
        <w:tc>
          <w:tcPr>
            <w:tcW w:type="pct" w:w="4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Хранение и складирование прочих грузов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52.24.2</w:t>
            </w:r>
          </w:p>
        </w:tc>
        <w:tc>
          <w:tcPr>
            <w:tcW w:type="pct" w:w="4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Транспортная обработка прочих грузов</w:t>
            </w:r>
          </w:p>
        </w:tc>
      </w:tr>
      <w:tr>
        <w:trPr>
          <w:cantSplit/>
        </w:trPr>
        <w:tc>
          <w:tcPr>
            <w:tcW w:type="pct" w:w="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52.29</w:t>
            </w:r>
          </w:p>
        </w:tc>
        <w:tc>
          <w:tcPr>
            <w:tcW w:type="pct" w:w="4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Деятельность вспомогательная прочая, связанная с перевозками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73.11</w:t>
            </w:r>
          </w:p>
        </w:tc>
        <w:tc>
          <w:tcPr>
            <w:tcW w:type="pct" w:w="4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Деятельность рекламных агентств</w:t>
            </w:r>
          </w:p>
        </w:tc>
      </w:tr>
      <w:tr>
        <w:trPr>
          <w:cantSplit/>
        </w:trPr>
        <w:tc>
          <w:tcPr>
            <w:tcW w:type="pct" w:w="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73.20</w:t>
            </w:r>
          </w:p>
        </w:tc>
        <w:tc>
          <w:tcPr>
            <w:tcW w:type="pct" w:w="4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Исследование конъюнктуры рынка и изучение общественного мнения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82.92</w:t>
            </w:r>
          </w:p>
        </w:tc>
        <w:tc>
          <w:tcPr>
            <w:tcW w:type="pct" w:w="4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Деятельность по упаковыванию товаров</w:t>
            </w:r>
          </w:p>
        </w:tc>
      </w:tr>
      <w:tr>
        <w:trPr>
          <w:cantSplit/>
        </w:trPr>
        <w:tc>
          <w:tcPr>
            <w:tcW w:type="pct" w:w="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Прочие</w:t>
            </w:r>
          </w:p>
        </w:tc>
        <w:tc>
          <w:tcPr>
            <w:tcW w:type="pct" w:w="4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Ещё 11 кодов: торговля текстилём, обувью, чистящими средствами, бытовыми приборами, садово-огородной техникой, мебелью и т.д.</w:t>
            </w:r>
          </w:p>
        </w:tc>
      </w:tr>
    </w:tbl>
    <w:p>
      <w:pPr>
        <w:pStyle w:val="Heading1"/>
        <w:spacing w:after="180" w:before="360" w:line="312"/>
      </w:pPr>
      <w:r>
        <w:rPr>
          <w:rFonts w:ascii="Calibri" w:eastAsia="Calibri"/>
          <w:b/>
          <w:bCs/>
          <w:color w:val="1F4E79"/>
          <w:sz w:val="32"/>
          <w:szCs w:val="32"/>
        </w:rPr>
        <w:t xml:space="preserve">3. Финансовые показатели</w:t>
      </w:r>
    </w:p>
    <w:p>
      <w:pPr>
        <w:pStyle w:val="Heading2"/>
        <w:spacing w:after="140" w:before="280" w:line="312"/>
      </w:pPr>
      <w:r>
        <w:rPr>
          <w:rFonts w:ascii="Calibri" w:eastAsia="Calibri"/>
          <w:b/>
          <w:bCs/>
          <w:color w:val="1F4E79"/>
          <w:sz w:val="28"/>
          <w:szCs w:val="28"/>
        </w:rPr>
        <w:t xml:space="preserve">3.1. Выручка и динамика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По данным внутренней CRM-карточки Эмпилс, выручка ООО «Вертикаль» за 2025 год составила </w:t>
      </w:r>
      <w:r>
        <w:rPr>
          <w:rFonts w:ascii="Calibri" w:eastAsia="Calibri"/>
          <w:b/>
          <w:bCs/>
          <w:i w:val="false"/>
          <w:iCs w:val="false"/>
          <w:color w:val="C00000"/>
          <w:sz w:val="22"/>
          <w:szCs w:val="22"/>
        </w:rPr>
        <w:t xml:space="preserve">порядка 12,0 млрд руб.</w:t>
      </w:r>
      <w:r>
        <w:rPr>
          <w:rFonts w:ascii="Calibri" w:eastAsia="Calibri"/>
          <w:color w:val="1A1A1A"/>
          <w:sz w:val="22"/>
          <w:szCs w:val="22"/>
        </w:rPr>
        <w:t xml:space="preserve"> Данные за 2024 год в карточке не заполнены, однако по косвенным признакам (рост электронной коммерции +26%, профессионального канала +21%, торговых сетей +11% в 2026 году) компания демонстрирует устойчивый рост выручки. Учитывая 30-летнюю историю, диверсифицированную модель бизнеса и 7 региональных складов, объём выручки 12 млрд руб. вполне согласуется с рыночным положением «крупнейшего российского дистрибьютора строительных товаров».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Полные финансовые показатели (прибыль, рентабельность, ликвидность, динамика за ряд лет) требуют запроса расширенной выписки или платных источников типа СПАРК/Контур.Фокус. Базовая выписка из ЕГРЮЛ такие данные не содержит. Рекомендуется перед переговорами запросить через партнёров или менеджеров «Вертикали» справку 2-НДФЛ/Ф1 или воспользоваться платными сервисами для углублённого финансового анализа.</w:t>
      </w:r>
    </w:p>
    <w:tbl>
      <w:tblPr>
        <w:tblW w:type="pct" w:w="500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D0D0D0" w:sz="1"/>
          <w:insideV w:val="single" w:color="D0D0D0" w:sz="1"/>
        </w:tblBorders>
      </w:tblPr>
      <w:tblGrid>
        <w:gridCol w:w="4394"/>
        <w:gridCol w:w="4394"/>
      </w:tblGrid>
      <w:tr>
        <w:trPr>
          <w:cantSplit/>
          <w:tblHeader/>
        </w:trPr>
        <w:tc>
          <w:tcPr>
            <w:tcW w:type="pct" w:w="2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Показатель</w:t>
            </w:r>
          </w:p>
        </w:tc>
        <w:tc>
          <w:tcPr>
            <w:tcW w:type="pct" w:w="2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2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Выручка за 2025 г. (по данным CRM)</w:t>
            </w:r>
          </w:p>
        </w:tc>
        <w:tc>
          <w:tcPr>
            <w:tcW w:type="pct" w:w="2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C00000"/>
                <w:sz w:val="22"/>
                <w:szCs w:val="22"/>
              </w:rPr>
              <w:t xml:space="preserve">≈ 12,0 млрд руб.</w:t>
            </w:r>
          </w:p>
        </w:tc>
      </w:tr>
      <w:tr>
        <w:trPr>
          <w:cantSplit/>
        </w:trPr>
        <w:tc>
          <w:tcPr>
            <w:tcW w:type="pct" w:w="2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Выручка за 2024 г.</w:t>
            </w:r>
          </w:p>
        </w:tc>
        <w:tc>
          <w:tcPr>
            <w:tcW w:type="pct" w:w="2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не подтверждена (требуется проверка через СПАРК/Контур.Фокус)</w:t>
            </w:r>
          </w:p>
        </w:tc>
      </w:tr>
      <w:tr>
        <w:trPr>
          <w:cantSplit/>
        </w:trPr>
        <w:tc>
          <w:tcPr>
            <w:tcW w:type="pct" w:w="2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Чистая прибыль</w:t>
            </w:r>
          </w:p>
        </w:tc>
        <w:tc>
          <w:tcPr>
            <w:tcW w:type="pct" w:w="2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нет данных в открытых источниках</w:t>
            </w:r>
          </w:p>
        </w:tc>
      </w:tr>
      <w:tr>
        <w:trPr>
          <w:cantSplit/>
        </w:trPr>
        <w:tc>
          <w:tcPr>
            <w:tcW w:type="pct" w:w="2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Рентабельность продаж</w:t>
            </w:r>
          </w:p>
        </w:tc>
        <w:tc>
          <w:tcPr>
            <w:tcW w:type="pct" w:w="2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нет данных в открытых источниках</w:t>
            </w:r>
          </w:p>
        </w:tc>
      </w:tr>
      <w:tr>
        <w:trPr>
          <w:cantSplit/>
        </w:trPr>
        <w:tc>
          <w:tcPr>
            <w:tcW w:type="pct" w:w="2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Динамика в 2026 г. (по данным компании)</w:t>
            </w:r>
          </w:p>
        </w:tc>
        <w:tc>
          <w:tcPr>
            <w:tcW w:type="pct" w:w="2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/>
                <w:bCs/>
                <w:color w:val="548235"/>
                <w:sz w:val="22"/>
                <w:szCs w:val="22"/>
              </w:rPr>
              <w:t xml:space="preserve">e-commerce: +26%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/>
                <w:bCs/>
                <w:color w:val="548235"/>
                <w:sz w:val="22"/>
                <w:szCs w:val="22"/>
              </w:rPr>
              <w:t xml:space="preserve">профессиональный канал: +21%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/>
                <w:bCs/>
                <w:color w:val="548235"/>
                <w:sz w:val="22"/>
                <w:szCs w:val="22"/>
              </w:rPr>
              <w:t xml:space="preserve">торговые сети: +11%</w:t>
            </w:r>
          </w:p>
        </w:tc>
      </w:tr>
      <w:tr>
        <w:trPr>
          <w:cantSplit/>
        </w:trPr>
        <w:tc>
          <w:tcPr>
            <w:tcW w:type="pct" w:w="2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Уставный капитал</w:t>
            </w:r>
          </w:p>
        </w:tc>
        <w:tc>
          <w:tcPr>
            <w:tcW w:type="pct" w:w="2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25 000 руб.</w:t>
            </w:r>
          </w:p>
        </w:tc>
      </w:tr>
      <w:tr>
        <w:trPr>
          <w:cantSplit/>
        </w:trPr>
        <w:tc>
          <w:tcPr>
            <w:tcW w:type="pct" w:w="2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Численность сотрудников</w:t>
            </w:r>
          </w:p>
        </w:tc>
        <w:tc>
          <w:tcPr>
            <w:tcW w:type="pct" w:w="2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≈ 900 человек (по данным сайта)</w:t>
            </w:r>
          </w:p>
        </w:tc>
      </w:tr>
      <w:tr>
        <w:trPr>
          <w:cantSplit/>
        </w:trPr>
        <w:tc>
          <w:tcPr>
            <w:tcW w:type="pct" w:w="2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Покупатели (клиентская база)</w:t>
            </w:r>
          </w:p>
        </w:tc>
        <w:tc>
          <w:tcPr>
            <w:tcW w:type="pct" w:w="2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≈ 20 000 покупателей (по данным сайта)</w:t>
            </w:r>
          </w:p>
        </w:tc>
      </w:tr>
      <w:tr>
        <w:trPr>
          <w:cantSplit/>
        </w:trPr>
        <w:tc>
          <w:tcPr>
            <w:tcW w:type="pct" w:w="2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Ассортимент</w:t>
            </w:r>
          </w:p>
        </w:tc>
        <w:tc>
          <w:tcPr>
            <w:tcW w:type="pct" w:w="2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≈ 35 000 SKU (по данным сайта), в т.ч. ЛКМ — 6 944 SKU</w:t>
            </w:r>
          </w:p>
        </w:tc>
      </w:tr>
      <w:tr>
        <w:trPr>
          <w:cantSplit/>
        </w:trPr>
        <w:tc>
          <w:tcPr>
            <w:tcW w:type="pct" w:w="2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Производительность труда (выручка/сотрудник)</w:t>
            </w:r>
          </w:p>
        </w:tc>
        <w:tc>
          <w:tcPr>
            <w:tcW w:type="pct" w:w="2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548235"/>
                <w:sz w:val="22"/>
                <w:szCs w:val="22"/>
              </w:rPr>
              <w:t xml:space="preserve">≈ 13,3 млн руб./чел. — высокий показатель для оптовой торговли</w:t>
            </w:r>
          </w:p>
        </w:tc>
      </w:tr>
    </w:tbl>
    <w:p>
      <w:pPr>
        <w:spacing w:after="200" w:before="80" w:line="280"/>
        <w:jc w:val="left"/>
      </w:pPr>
      <w:r>
        <w:rPr>
          <w:rFonts w:ascii="Calibri" w:eastAsia="Calibri"/>
          <w:i/>
          <w:iCs/>
          <w:color w:val="595959"/>
          <w:sz w:val="18"/>
          <w:szCs w:val="18"/>
        </w:rPr>
        <w:t xml:space="preserve">Источники: выписка ЕГРЮЛ (egrul.nalog.ru), сайт vertical.ru, внутренняя CRM-карточка Эмпилс.</w:t>
      </w:r>
    </w:p>
    <w:p>
      <w:pPr>
        <w:pStyle w:val="Heading2"/>
        <w:spacing w:after="140" w:before="280" w:line="312"/>
      </w:pPr>
      <w:r>
        <w:rPr>
          <w:rFonts w:ascii="Calibri" w:eastAsia="Calibri"/>
          <w:b/>
          <w:bCs/>
          <w:color w:val="1F4E79"/>
          <w:sz w:val="28"/>
          <w:szCs w:val="28"/>
        </w:rPr>
        <w:t xml:space="preserve">3.2. Структура собственности и руководство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Компания имеет </w:t>
      </w:r>
      <w:r>
        <w:rPr>
          <w:rFonts w:ascii="Calibri" w:eastAsia="Calibri"/>
          <w:b/>
          <w:bCs/>
          <w:i w:val="false"/>
          <w:iCs w:val="false"/>
          <w:color w:val="1A1A1A"/>
          <w:sz w:val="22"/>
          <w:szCs w:val="22"/>
        </w:rPr>
        <w:t xml:space="preserve">упрощённую структуру собственности</w:t>
      </w:r>
      <w:r>
        <w:rPr>
          <w:rFonts w:ascii="Calibri" w:eastAsia="Calibri"/>
          <w:color w:val="1A1A1A"/>
          <w:sz w:val="22"/>
          <w:szCs w:val="22"/>
        </w:rPr>
        <w:t xml:space="preserve">: единственный учредитель и генеральный директор — одно и то же лицо. Это указывает на частный, не институциональный бизнес, где ключевые решения принимаются оперативно. Отсутствие соучредителей снижает риск корпоративных конфликтов, но также означает, что переговоры и решения по существенным вопросам проходят через одного человека.</w:t>
      </w:r>
    </w:p>
    <w:tbl>
      <w:tblPr>
        <w:tblW w:type="pct" w:w="500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D0D0D0" w:sz="1"/>
          <w:insideV w:val="single" w:color="D0D0D0" w:sz="1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pct" w:w="3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Единственный участник (учредитель)</w:t>
            </w:r>
          </w:p>
        </w:tc>
        <w:tc>
          <w:tcPr>
            <w:tcW w:type="pct" w:w="3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Евдоков Владимир Иванович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ИНН: 772902204680 (регистрация в г. Москве)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Доля: 100% (номинальная стоимость — 25 000 руб.)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Внесён в ЕГРЮЛ: 22.09.2021</w:t>
            </w:r>
          </w:p>
        </w:tc>
      </w:tr>
      <w:tr>
        <w:trPr>
          <w:cantSplit/>
        </w:trPr>
        <w:tc>
          <w:tcPr>
            <w:tcW w:type="pct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Генеральный директор</w:t>
            </w:r>
          </w:p>
        </w:tc>
        <w:tc>
          <w:tcPr>
            <w:tcW w:type="pct" w:w="3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Евдоков Владимир Иванович (тот же человек)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Назначен на должность: 09.11.2021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ИНН: 772902204680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Гражданство: РФ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Совпадение учредитель = директор</w:t>
            </w:r>
          </w:p>
        </w:tc>
        <w:tc>
          <w:tcPr>
            <w:tcW w:type="pct" w:w="3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BF8F00"/>
                <w:sz w:val="22"/>
                <w:szCs w:val="22"/>
              </w:rPr>
              <w:t xml:space="preserve">Да. Это снижает корпоративные риски, но означает концентрацию решений в одних руках.</w:t>
            </w:r>
          </w:p>
        </w:tc>
      </w:tr>
      <w:tr>
        <w:trPr>
          <w:cantSplit/>
        </w:trPr>
        <w:tc>
          <w:tcPr>
            <w:tcW w:type="pct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Предыдущий представитель (по документам)</w:t>
            </w:r>
          </w:p>
        </w:tc>
        <w:tc>
          <w:tcPr>
            <w:tcW w:type="pct" w:w="3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Коник А.Ю. (упоминается в доверенности от 03.05.2018)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Возможно, прежний директор или представитель до 2021 года</w:t>
            </w:r>
          </w:p>
        </w:tc>
      </w:tr>
    </w:tbl>
    <w:p>
      <w:pPr>
        <w:pStyle w:val="Heading1"/>
        <w:spacing w:after="180" w:before="360" w:line="312"/>
      </w:pPr>
      <w:r>
        <w:rPr>
          <w:rFonts w:ascii="Calibri" w:eastAsia="Calibri"/>
          <w:b/>
          <w:bCs/>
          <w:color w:val="1F4E79"/>
          <w:sz w:val="32"/>
          <w:szCs w:val="32"/>
        </w:rPr>
        <w:t xml:space="preserve">4. Инфраструктура: офисы, склады, логистика</w:t>
      </w:r>
    </w:p>
    <w:p>
      <w:pPr>
        <w:pStyle w:val="Heading2"/>
        <w:spacing w:after="140" w:before="280" w:line="312"/>
      </w:pPr>
      <w:r>
        <w:rPr>
          <w:rFonts w:ascii="Calibri" w:eastAsia="Calibri"/>
          <w:b/>
          <w:bCs/>
          <w:color w:val="1F4E79"/>
          <w:sz w:val="28"/>
          <w:szCs w:val="28"/>
        </w:rPr>
        <w:t xml:space="preserve">4.1. Сеть пунктов самовывоза и складов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По данным страницы «Контакты» сайта vertical.ru, у компании </w:t>
      </w:r>
      <w:r>
        <w:rPr>
          <w:rFonts w:ascii="Calibri" w:eastAsia="Calibri"/>
          <w:b/>
          <w:bCs/>
          <w:i w:val="false"/>
          <w:iCs w:val="false"/>
          <w:color w:val="1F4E79"/>
          <w:sz w:val="22"/>
          <w:szCs w:val="22"/>
        </w:rPr>
        <w:t xml:space="preserve">8 пунктов самовывоза для юридических лиц</w:t>
      </w:r>
      <w:r>
        <w:rPr>
          <w:rFonts w:ascii="Calibri" w:eastAsia="Calibri"/>
          <w:color w:val="1A1A1A"/>
          <w:sz w:val="22"/>
          <w:szCs w:val="22"/>
        </w:rPr>
        <w:t xml:space="preserve"> в крупных городах России. По данным сайта «О компании», складов — 7 (возможно, один из пунктов самовывоза не является полноценным складом, а выполняет функцию точки выдачи). В файле клиентской карточки также указано: «наличие склада — да, наличие логистики — да», что подтверждается сайтом.</w:t>
      </w:r>
    </w:p>
    <w:tbl>
      <w:tblPr>
        <w:tblW w:type="pct" w:w="500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D0D0D0" w:sz="1"/>
          <w:insideV w:val="single" w:color="D0D0D0" w:sz="1"/>
        </w:tblBorders>
      </w:tblPr>
      <w:tblGrid>
        <w:gridCol w:w="439"/>
        <w:gridCol w:w="1318"/>
        <w:gridCol w:w="5273"/>
        <w:gridCol w:w="1758"/>
      </w:tblGrid>
      <w:tr>
        <w:trPr>
          <w:cantSplit/>
          <w:tblHeader/>
        </w:trPr>
        <w:tc>
          <w:tcPr>
            <w:tcW w:type="pct" w:w="25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pct" w:w="75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Город</w:t>
            </w:r>
          </w:p>
        </w:tc>
        <w:tc>
          <w:tcPr>
            <w:tcW w:type="pct" w:w="3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Адрес</w:t>
            </w:r>
          </w:p>
        </w:tc>
        <w:tc>
          <w:tcPr>
            <w:tcW w:type="pct" w:w="1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Часы работы</w:t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pct" w:w="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Москва (Быково)</w:t>
            </w:r>
          </w:p>
        </w:tc>
        <w:tc>
          <w:tcPr>
            <w:tcW w:type="pct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Аэропортовская ул., 14, р.п. Быково, Раменский городской округ</w:t>
            </w:r>
          </w:p>
        </w:tc>
        <w:tc>
          <w:tcPr>
            <w:tcW w:type="pct" w:w="1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Пн-Пт 08:00-17:00</w:t>
            </w:r>
          </w:p>
        </w:tc>
      </w:tr>
      <w:tr>
        <w:trPr>
          <w:cantSplit/>
        </w:trPr>
        <w:tc>
          <w:tcPr>
            <w:tcW w:type="pct" w:w="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pct" w:w="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Воронеж</w:t>
            </w:r>
          </w:p>
        </w:tc>
        <w:tc>
          <w:tcPr>
            <w:tcW w:type="pct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Базовая ул., 9Б, г. Воронеж</w:t>
            </w:r>
          </w:p>
        </w:tc>
        <w:tc>
          <w:tcPr>
            <w:tcW w:type="pct" w:w="1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Пн-Пт 08:00-15:00</w:t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pct" w:w="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Вологда</w:t>
            </w:r>
          </w:p>
        </w:tc>
        <w:tc>
          <w:tcPr>
            <w:tcW w:type="pct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Александра Клубова ул., 44А, г. Вологда</w:t>
            </w:r>
          </w:p>
        </w:tc>
        <w:tc>
          <w:tcPr>
            <w:tcW w:type="pct" w:w="1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Пн-Пт 08:00-15:00</w:t>
            </w:r>
          </w:p>
        </w:tc>
      </w:tr>
      <w:tr>
        <w:trPr>
          <w:cantSplit/>
        </w:trPr>
        <w:tc>
          <w:tcPr>
            <w:tcW w:type="pct" w:w="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pct" w:w="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Нижний Новгород</w:t>
            </w:r>
          </w:p>
        </w:tc>
        <w:tc>
          <w:tcPr>
            <w:tcW w:type="pct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Федосеенко ул., 43, г. Нижний Новгород</w:t>
            </w:r>
          </w:p>
        </w:tc>
        <w:tc>
          <w:tcPr>
            <w:tcW w:type="pct" w:w="1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Пн-Пт 08:00-15:00</w:t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pct" w:w="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Орёл</w:t>
            </w:r>
          </w:p>
        </w:tc>
        <w:tc>
          <w:tcPr>
            <w:tcW w:type="pct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Силикатный пер., 1, г. Орёл</w:t>
            </w:r>
          </w:p>
        </w:tc>
        <w:tc>
          <w:tcPr>
            <w:tcW w:type="pct" w:w="1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Пн-Пт 08:00-15:00</w:t>
            </w:r>
          </w:p>
        </w:tc>
      </w:tr>
      <w:tr>
        <w:trPr>
          <w:cantSplit/>
        </w:trPr>
        <w:tc>
          <w:tcPr>
            <w:tcW w:type="pct" w:w="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pct" w:w="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Рязань</w:t>
            </w:r>
          </w:p>
        </w:tc>
        <w:tc>
          <w:tcPr>
            <w:tcW w:type="pct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Ряжское ш., д. 20, Рязанская обл.</w:t>
            </w:r>
          </w:p>
        </w:tc>
        <w:tc>
          <w:tcPr>
            <w:tcW w:type="pct" w:w="1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Пн-Пт 08:00-15:00</w:t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W w:type="pct" w:w="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Санкт-Петербург</w:t>
            </w:r>
          </w:p>
        </w:tc>
        <w:tc>
          <w:tcPr>
            <w:tcW w:type="pct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Кубинская ул., 75к1, г. Санкт-Петербург</w:t>
            </w:r>
          </w:p>
        </w:tc>
        <w:tc>
          <w:tcPr>
            <w:tcW w:type="pct" w:w="1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Пн-Пт 08:00-17:00</w:t>
            </w:r>
          </w:p>
        </w:tc>
      </w:tr>
      <w:tr>
        <w:trPr>
          <w:cantSplit/>
        </w:trPr>
        <w:tc>
          <w:tcPr>
            <w:tcW w:type="pct" w:w="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pct" w:w="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Иваново</w:t>
            </w:r>
          </w:p>
        </w:tc>
        <w:tc>
          <w:tcPr>
            <w:tcW w:type="pct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Коляново д., Рябиновая ул., стр. 11д, корп. 2, Ивановская обл.</w:t>
            </w:r>
          </w:p>
        </w:tc>
        <w:tc>
          <w:tcPr>
            <w:tcW w:type="pct" w:w="1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Пн-Пт 08:00-15:00</w:t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pct" w:w="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Обнинск (юр. адрес)</w:t>
            </w:r>
          </w:p>
        </w:tc>
        <w:tc>
          <w:tcPr>
            <w:tcW w:type="pct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ул. Курсатова, 31А, помещ. 7, офис 3, г. Обнинск, Калужская обл.</w:t>
            </w:r>
          </w:p>
        </w:tc>
        <w:tc>
          <w:tcPr>
            <w:tcW w:type="pct" w:w="1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офис</w:t>
            </w:r>
          </w:p>
        </w:tc>
      </w:tr>
    </w:tbl>
    <w:p>
      <w:pPr>
        <w:spacing w:after="200" w:before="80" w:line="280"/>
        <w:jc w:val="left"/>
      </w:pPr>
      <w:r>
        <w:rPr>
          <w:rFonts w:ascii="Calibri" w:eastAsia="Calibri"/>
          <w:i/>
          <w:iCs/>
          <w:color w:val="595959"/>
          <w:sz w:val="18"/>
          <w:szCs w:val="18"/>
        </w:rPr>
        <w:t xml:space="preserve">Источник: страница «Контакты» сайта vertical.ru/contacts.</w:t>
      </w:r>
    </w:p>
    <w:p>
      <w:pPr>
        <w:pStyle w:val="Heading2"/>
        <w:spacing w:after="140" w:before="280" w:line="312"/>
      </w:pPr>
      <w:r>
        <w:rPr>
          <w:rFonts w:ascii="Calibri" w:eastAsia="Calibri"/>
          <w:b/>
          <w:bCs/>
          <w:color w:val="1F4E79"/>
          <w:sz w:val="28"/>
          <w:szCs w:val="28"/>
        </w:rPr>
        <w:t xml:space="preserve">4.2. География и логистика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На главной странице сайта компания заявляет: </w:t>
      </w:r>
      <w:r>
        <w:rPr>
          <w:rFonts w:ascii="Calibri" w:eastAsia="Calibri"/>
          <w:b/>
          <w:bCs/>
          <w:i w:val="false"/>
          <w:iCs w:val="false"/>
          <w:color w:val="C00000"/>
          <w:sz w:val="22"/>
          <w:szCs w:val="22"/>
        </w:rPr>
        <w:t xml:space="preserve">«Территориальный охват: от Москвы до Урала»</w:t>
      </w:r>
      <w:r>
        <w:rPr>
          <w:rFonts w:ascii="Calibri" w:eastAsia="Calibri"/>
          <w:color w:val="1A1A1A"/>
          <w:sz w:val="22"/>
          <w:szCs w:val="22"/>
        </w:rPr>
        <w:t xml:space="preserve">. Это значительно шире, чем указано во внутренней CRM-карточке («Воронежская, Белгородская»), что говорит о том, что данные в карточке могут относиться к зоне ответственности конкретного регионального менеджера Эмпилс, а не к фактической географии работы дистрибьютора. По данным сайта, бесплатная доставка предоставляется при заказе от 20 000 руб. по Центральному, Северо-Западному и Приволжскому федеральным округам.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Канал продаж: B2B (только юридические лица). Для физических лиц продукция доступна через маркетплейсы </w:t>
      </w:r>
      <w:r>
        <w:rPr>
          <w:rFonts w:ascii="Calibri" w:eastAsia="Calibri"/>
          <w:b/>
          <w:bCs/>
          <w:i w:val="false"/>
          <w:iCs w:val="false"/>
          <w:color w:val="1A1A1A"/>
          <w:sz w:val="22"/>
          <w:szCs w:val="22"/>
        </w:rPr>
        <w:t xml:space="preserve">OZON, Яндекс.Маркет, Wildberries</w:t>
      </w:r>
      <w:r>
        <w:rPr>
          <w:rFonts w:ascii="Calibri" w:eastAsia="Calibri"/>
          <w:color w:val="1A1A1A"/>
          <w:sz w:val="22"/>
          <w:szCs w:val="22"/>
        </w:rPr>
        <w:t xml:space="preserve">. Это означает, что «Вертикаль» присутствует и на e-commerce-рынке через marketplace-модель.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Собственный автопарк и команда торговых представителей — согласно данным из CRM-карточки — присутствуют. На сайте указано: «Заказы 24/7 через личный кабинет» — то есть работает собственный онлайн-кабинет для B2B-клиентов (им пользуется свыше 5 000 клиентов по состоянию на 2024 год).</w:t>
      </w:r>
    </w:p>
    <w:p>
      <w:pPr>
        <w:pStyle w:val="Heading1"/>
        <w:spacing w:after="180" w:before="360" w:line="312"/>
      </w:pPr>
      <w:r>
        <w:rPr>
          <w:rFonts w:ascii="Calibri" w:eastAsia="Calibri"/>
          <w:b/>
          <w:bCs/>
          <w:color w:val="1F4E79"/>
          <w:sz w:val="32"/>
          <w:szCs w:val="32"/>
        </w:rPr>
        <w:t xml:space="preserve">5. Бренды и конкурентный контекст</w:t>
      </w:r>
    </w:p>
    <w:p>
      <w:pPr>
        <w:pStyle w:val="Heading2"/>
        <w:spacing w:after="140" w:before="280" w:line="312"/>
      </w:pPr>
      <w:r>
        <w:rPr>
          <w:rFonts w:ascii="Calibri" w:eastAsia="Calibri"/>
          <w:b/>
          <w:bCs/>
          <w:color w:val="1F4E79"/>
          <w:sz w:val="28"/>
          <w:szCs w:val="28"/>
        </w:rPr>
        <w:t xml:space="preserve">5.1. Текущий портфель брендов «Вертикали»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По данным внутренней CRM-карточки и сайта vertical.ru, портфель ЛКМ-брендов «Вертикали» можно разделить на три блока: основные (из CRM), дополнительные (из CRM) и представленные в каталоге сайта (расширенный список).</w:t>
      </w:r>
    </w:p>
    <w:tbl>
      <w:tblPr>
        <w:tblW w:type="pct" w:w="500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D0D0D0" w:sz="1"/>
          <w:insideV w:val="single" w:color="D0D0D0" w:sz="1"/>
        </w:tblBorders>
      </w:tblPr>
      <w:tblGrid>
        <w:gridCol w:w="2197"/>
        <w:gridCol w:w="4394"/>
        <w:gridCol w:w="2197"/>
      </w:tblGrid>
      <w:tr>
        <w:trPr>
          <w:cantSplit/>
          <w:tblHeader/>
        </w:trPr>
        <w:tc>
          <w:tcPr>
            <w:tcW w:type="pct" w:w="125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Категория</w:t>
            </w:r>
          </w:p>
        </w:tc>
        <w:tc>
          <w:tcPr>
            <w:tcW w:type="pct" w:w="2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Бренды</w:t>
            </w:r>
          </w:p>
        </w:tc>
        <w:tc>
          <w:tcPr>
            <w:tcW w:type="pct" w:w="125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Основной ЛКМ-ассортимент (из CRM)</w:t>
            </w:r>
          </w:p>
        </w:tc>
        <w:tc>
          <w:tcPr>
            <w:tcW w:type="pct" w:w="2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Лакра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Текс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Рогнеда</w:t>
            </w:r>
          </w:p>
        </w:tc>
        <w:tc>
          <w:tcPr>
            <w:tcW w:type="pct" w:w="1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C00000"/>
                <w:sz w:val="22"/>
                <w:szCs w:val="22"/>
              </w:rPr>
              <w:t xml:space="preserve">Прямые конкуренты Эмпилс по основному ассортименту — это прежде всего Текс и Лакра (конкуренты в сегменте масс-маркет)</w:t>
            </w:r>
          </w:p>
        </w:tc>
      </w:tr>
      <w:tr>
        <w:trPr>
          <w:cantSplit/>
        </w:trPr>
        <w:tc>
          <w:tcPr>
            <w:tcW w:type="pct" w:w="1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Дополнительный ЛКМ-ассортимент (из CRM)</w:t>
            </w:r>
          </w:p>
        </w:tc>
        <w:tc>
          <w:tcPr>
            <w:tcW w:type="pct" w:w="2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Профилюкс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Новоколор</w:t>
            </w:r>
          </w:p>
        </w:tc>
        <w:tc>
          <w:tcPr>
            <w:tcW w:type="pct" w:w="1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Промо-бренды на сайте: ABC Farben, Акватекс, Формула Q8, LINNIMAX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Топ-бренды в каталоге ЛКМ (по кол-ву SKU)</w:t>
            </w:r>
          </w:p>
        </w:tc>
        <w:tc>
          <w:tcPr>
            <w:tcW w:type="pct" w:w="2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ABC Farben (ЗАО «АВС Фарбен») — 708 SKU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Акватекс — 261 SKU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Альфа — 79 SKU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Арикон — 23 SKU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Всего в каталоге ЛКМ — 6 944 SKU</w:t>
            </w:r>
          </w:p>
        </w:tc>
        <w:tc>
          <w:tcPr>
            <w:tcW w:type="pct" w:w="1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ABC Farben позиционируется как «крупнейший производитель ЛКМ России и ближнего зарубежья»</w:t>
            </w:r>
          </w:p>
        </w:tc>
      </w:tr>
      <w:tr>
        <w:trPr>
          <w:cantSplit/>
        </w:trPr>
        <w:tc>
          <w:tcPr>
            <w:tcW w:type="pct" w:w="1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Доп. бренды в каталоге</w:t>
            </w:r>
          </w:p>
        </w:tc>
        <w:tc>
          <w:tcPr>
            <w:tcW w:type="pct" w:w="2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Krafor, VGT (ВГТ), Dali, Veres,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  Престиж, Церезит, KUDO,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  Tikkurila, LINNIMAX,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  Формула Q8, Tikkurila</w:t>
            </w:r>
          </w:p>
        </w:tc>
        <w:tc>
          <w:tcPr>
            <w:tcW w:type="pct" w:w="1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Широкий premium- и средний сегмент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C00000"/>
                <w:sz w:val="22"/>
                <w:szCs w:val="22"/>
              </w:rPr>
              <w:t xml:space="preserve">Собственная ТМ</w:t>
            </w:r>
          </w:p>
        </w:tc>
        <w:tc>
          <w:tcPr>
            <w:tcW w:type="pct" w:w="2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C00000"/>
                <w:sz w:val="22"/>
                <w:szCs w:val="22"/>
              </w:rPr>
              <w:t xml:space="preserve">• V — грунт-эмаль 3 в 1 V (20 кг, серая),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C00000"/>
                <w:sz w:val="22"/>
                <w:szCs w:val="22"/>
              </w:rPr>
              <w:t xml:space="preserve">  клеи для обоев V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C00000"/>
                <w:sz w:val="22"/>
                <w:szCs w:val="22"/>
              </w:rPr>
              <w:t xml:space="preserve">  (новинка от 22.01.2026)</w:t>
            </w:r>
          </w:p>
        </w:tc>
        <w:tc>
          <w:tcPr>
            <w:tcW w:type="pct" w:w="1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C00000"/>
                <w:sz w:val="22"/>
                <w:szCs w:val="22"/>
              </w:rPr>
              <w:t xml:space="preserve">СТМ компании, запущена в 2008 г., укрепляется с 2021 г.</w:t>
            </w:r>
          </w:p>
        </w:tc>
      </w:tr>
      <w:tr>
        <w:trPr>
          <w:cantSplit/>
        </w:trPr>
        <w:tc>
          <w:tcPr>
            <w:tcW w:type="pct" w:w="1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Розничная сеть собственной розницы</w:t>
            </w:r>
          </w:p>
        </w:tc>
        <w:tc>
          <w:tcPr>
            <w:tcW w:type="pct" w:w="2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• «ДомДом» — сеть магазинов DIY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  (запущена в 2019 г.)</w:t>
            </w:r>
          </w:p>
        </w:tc>
        <w:tc>
          <w:tcPr>
            <w:tcW w:type="pct" w:w="1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Это второй (розничный) канал продаж помимо оптового</w:t>
            </w:r>
          </w:p>
        </w:tc>
      </w:tr>
    </w:tbl>
    <w:p>
      <w:pPr>
        <w:pStyle w:val="Heading2"/>
        <w:spacing w:after="140" w:before="280" w:line="312"/>
      </w:pPr>
      <w:r>
        <w:rPr>
          <w:rFonts w:ascii="Calibri" w:eastAsia="Calibri"/>
          <w:b/>
          <w:bCs/>
          <w:color w:val="1F4E79"/>
          <w:sz w:val="28"/>
          <w:szCs w:val="28"/>
        </w:rPr>
        <w:t xml:space="preserve">5.2. Анализ замещения брендов Эмпилс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Сопоставление текущего портфеля брендов «Вертикали» с ассортиментом Эмпилс (ОРЕОЛ TITAN, Ореол, Ореол Дисконт, NEWTONE, AvantGarde, Расцвет, Простокрашено! БАУ, PROFIWOOD) показывает, что прямого конфликта по большинству марок нет — за исключением частичного совпадения по категории «бюджетный ЛКМ». Это даёт Эмпилс возможность предложить «Вертикали» ассортимент, который дополнит, а не заместит уже представленные бренды.</w:t>
      </w:r>
    </w:p>
    <w:tbl>
      <w:tblPr>
        <w:tblW w:type="pct" w:w="500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D0D0D0" w:sz="1"/>
          <w:insideV w:val="single" w:color="D0D0D0" w:sz="1"/>
        </w:tblBorders>
      </w:tblPr>
      <w:tblGrid>
        <w:gridCol w:w="2197"/>
        <w:gridCol w:w="2636"/>
        <w:gridCol w:w="2636"/>
        <w:gridCol w:w="1318"/>
      </w:tblGrid>
      <w:tr>
        <w:trPr>
          <w:cantSplit/>
          <w:tblHeader/>
        </w:trPr>
        <w:tc>
          <w:tcPr>
            <w:tcW w:type="pct" w:w="125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Сегмент</w:t>
            </w:r>
          </w:p>
        </w:tc>
        <w:tc>
          <w:tcPr>
            <w:tcW w:type="pct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Бренды «Вертикали»</w:t>
            </w:r>
          </w:p>
        </w:tc>
        <w:tc>
          <w:tcPr>
            <w:tcW w:type="pct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Возможная замена/дополнение от Эмпилс</w:t>
            </w:r>
          </w:p>
        </w:tc>
        <w:tc>
          <w:tcPr>
            <w:tcW w:type="pct" w:w="75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Тип захода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Премиум-ЛКМ</w:t>
            </w:r>
          </w:p>
        </w:tc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Tikkurila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ABC Farben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LINNIMAX</w:t>
            </w:r>
          </w:p>
        </w:tc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AvantGarde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NEWTONE</w:t>
            </w:r>
          </w:p>
        </w:tc>
        <w:tc>
          <w:tcPr>
            <w:tcW w:type="pct" w:w="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548235"/>
                <w:sz w:val="22"/>
                <w:szCs w:val="22"/>
              </w:rPr>
              <w:t xml:space="preserve">дополнение</w:t>
            </w:r>
          </w:p>
        </w:tc>
      </w:tr>
      <w:tr>
        <w:trPr>
          <w:cantSplit/>
        </w:trPr>
        <w:tc>
          <w:tcPr>
            <w:tcW w:type="pct" w:w="1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Средний ЛКМ</w:t>
            </w:r>
          </w:p>
        </w:tc>
        <w:tc>
          <w:tcPr>
            <w:tcW w:type="pct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Лакра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Текс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Акватекс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Veres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Dali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VGT</w:t>
            </w:r>
          </w:p>
        </w:tc>
        <w:tc>
          <w:tcPr>
            <w:tcW w:type="pct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Ореол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ОРЕОЛ TITAN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Расцвет</w:t>
            </w:r>
          </w:p>
        </w:tc>
        <w:tc>
          <w:tcPr>
            <w:tcW w:type="pct" w:w="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BF8F00"/>
                <w:sz w:val="22"/>
                <w:szCs w:val="22"/>
              </w:rPr>
              <w:t xml:space="preserve">замещение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Эконом-ЛКМ</w:t>
            </w:r>
          </w:p>
        </w:tc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Рогнеда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Профилюкс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Новоколор</w:t>
            </w:r>
          </w:p>
        </w:tc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Ореол Дисконт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Простокрашено! БАУ</w:t>
            </w:r>
          </w:p>
        </w:tc>
        <w:tc>
          <w:tcPr>
            <w:tcW w:type="pct" w:w="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BF8F00"/>
                <w:sz w:val="22"/>
                <w:szCs w:val="22"/>
              </w:rPr>
              <w:t xml:space="preserve">замещение</w:t>
            </w:r>
          </w:p>
        </w:tc>
      </w:tr>
      <w:tr>
        <w:trPr>
          <w:cantSplit/>
        </w:trPr>
        <w:tc>
          <w:tcPr>
            <w:tcW w:type="pct" w:w="1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Защита и декор дерева</w:t>
            </w:r>
          </w:p>
        </w:tc>
        <w:tc>
          <w:tcPr>
            <w:tcW w:type="pct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Акватекс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Veres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ABC Farben</w:t>
            </w:r>
          </w:p>
        </w:tc>
        <w:tc>
          <w:tcPr>
            <w:tcW w:type="pct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PROFIWOOD</w:t>
            </w:r>
          </w:p>
        </w:tc>
        <w:tc>
          <w:tcPr>
            <w:tcW w:type="pct" w:w="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548235"/>
                <w:sz w:val="22"/>
                <w:szCs w:val="22"/>
              </w:rPr>
              <w:t xml:space="preserve">дополнение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C00000"/>
                <w:sz w:val="22"/>
                <w:szCs w:val="22"/>
              </w:rPr>
              <w:t xml:space="preserve">СТМ</w:t>
            </w:r>
          </w:p>
        </w:tc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C00000"/>
                <w:sz w:val="22"/>
                <w:szCs w:val="22"/>
              </w:rPr>
              <w:t xml:space="preserve">V (собств.)</w:t>
            </w:r>
          </w:p>
        </w:tc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C00000"/>
                <w:sz w:val="22"/>
                <w:szCs w:val="22"/>
              </w:rPr>
              <w:t xml:space="preserve">Производство СТМ под брендом клиента — Эмпилс как производитель</w:t>
            </w:r>
          </w:p>
        </w:tc>
        <w:tc>
          <w:tcPr>
            <w:tcW w:type="pct" w:w="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C00000"/>
                <w:sz w:val="22"/>
                <w:szCs w:val="22"/>
              </w:rPr>
              <w:t xml:space="preserve">новое</w:t>
            </w:r>
          </w:p>
        </w:tc>
      </w:tr>
    </w:tbl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Важная стратегическая возможность: «Вертикаль» уже имеет собственную ТМ V в категории грунт-эмалей и клеёв, и в истории компании отмечено «укрепление портфеля СТМ в ЛКМ, инструменте и товарах для сада». В CRM-карточке клиента прямо зафиксировано: </w:t>
      </w:r>
      <w:r>
        <w:rPr>
          <w:rFonts w:ascii="Calibri" w:eastAsia="Calibri"/>
          <w:b/>
          <w:bCs/>
          <w:i w:val="false"/>
          <w:iCs w:val="false"/>
          <w:color w:val="C00000"/>
          <w:sz w:val="22"/>
          <w:szCs w:val="22"/>
        </w:rPr>
        <w:t xml:space="preserve">«возможно изготовление интересно собственных ТМ»</w:t>
      </w:r>
      <w:r>
        <w:rPr>
          <w:rFonts w:ascii="Calibri" w:eastAsia="Calibri"/>
          <w:color w:val="1A1A1A"/>
          <w:sz w:val="22"/>
          <w:szCs w:val="22"/>
        </w:rPr>
        <w:t xml:space="preserve">. Это означает, что компания открыта к партнёрству по производству СТМ — Эмпилс как завод-производитель может предложить контрактное производство дешёвой СТМ под брендом «Вертикали». Это ключевой аргумент для переговоров.</w:t>
      </w:r>
    </w:p>
    <w:p>
      <w:pPr>
        <w:pStyle w:val="Heading1"/>
        <w:spacing w:after="180" w:before="360" w:line="312"/>
      </w:pPr>
      <w:r>
        <w:rPr>
          <w:rFonts w:ascii="Calibri" w:eastAsia="Calibri"/>
          <w:b/>
          <w:bCs/>
          <w:color w:val="1F4E79"/>
          <w:sz w:val="32"/>
          <w:szCs w:val="32"/>
        </w:rPr>
        <w:t xml:space="preserve">6. Контактный блок</w:t>
      </w:r>
    </w:p>
    <w:p>
      <w:pPr>
        <w:pStyle w:val="Heading2"/>
        <w:spacing w:after="140" w:before="280" w:line="312"/>
      </w:pPr>
      <w:r>
        <w:rPr>
          <w:rFonts w:ascii="Calibri" w:eastAsia="Calibri"/>
          <w:b/>
          <w:bCs/>
          <w:color w:val="1F4E79"/>
          <w:sz w:val="28"/>
          <w:szCs w:val="28"/>
        </w:rPr>
        <w:t xml:space="preserve">6.1. Контакты ключевых лиц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Для переговоров с Эмпилс со стороны «Вертикали» ответственен </w:t>
      </w:r>
      <w:r>
        <w:rPr>
          <w:rFonts w:ascii="Calibri" w:eastAsia="Calibri"/>
          <w:b/>
          <w:bCs/>
          <w:i w:val="false"/>
          <w:iCs w:val="false"/>
          <w:color w:val="C00000"/>
          <w:sz w:val="22"/>
          <w:szCs w:val="22"/>
        </w:rPr>
        <w:t xml:space="preserve">Юрий Григорьевский — руководитель отдела продаж</w:t>
      </w:r>
      <w:r>
        <w:rPr>
          <w:rFonts w:ascii="Calibri" w:eastAsia="Calibri"/>
          <w:color w:val="1A1A1A"/>
          <w:sz w:val="22"/>
          <w:szCs w:val="22"/>
        </w:rPr>
        <w:t xml:space="preserve">. Это означает, что в его подчинении находится команда менеджеров по продажам. Прямой выход на генерального директора Евдокова В.И. возможен через Юрия Григорьевского либо через офис компании.</w:t>
      </w:r>
    </w:p>
    <w:tbl>
      <w:tblPr>
        <w:tblW w:type="pct" w:w="500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D0D0D0" w:sz="1"/>
          <w:insideV w:val="single" w:color="D0D0D0" w:sz="1"/>
        </w:tblBorders>
      </w:tblPr>
      <w:tblGrid>
        <w:gridCol w:w="2636"/>
        <w:gridCol w:w="2197"/>
        <w:gridCol w:w="3955"/>
      </w:tblGrid>
      <w:tr>
        <w:trPr>
          <w:cantSplit/>
          <w:tblHeader/>
        </w:trPr>
        <w:tc>
          <w:tcPr>
            <w:tcW w:type="pct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Роль / Должность</w:t>
            </w:r>
          </w:p>
        </w:tc>
        <w:tc>
          <w:tcPr>
            <w:tcW w:type="pct" w:w="125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ФИО</w:t>
            </w:r>
          </w:p>
        </w:tc>
        <w:tc>
          <w:tcPr>
            <w:tcW w:type="pct" w:w="225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Контакты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F4E79"/>
                <w:sz w:val="22"/>
                <w:szCs w:val="22"/>
              </w:rPr>
              <w:t xml:space="preserve">Генеральный директор / единственный учредитель</w:t>
            </w:r>
          </w:p>
        </w:tc>
        <w:tc>
          <w:tcPr>
            <w:tcW w:type="pct" w:w="1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Евдоков Владимир Иванович</w:t>
            </w:r>
          </w:p>
        </w:tc>
        <w:tc>
          <w:tcPr>
            <w:tcW w:type="pct" w:w="2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ИНН: 772902204680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Назначен: 09.11.2021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Контакт через офис компании</w:t>
            </w:r>
          </w:p>
        </w:tc>
      </w:tr>
      <w:tr>
        <w:trPr>
          <w:cantSplit/>
        </w:trPr>
        <w:tc>
          <w:tcPr>
            <w:tcW w:type="pct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C00000"/>
                <w:sz w:val="22"/>
                <w:szCs w:val="22"/>
              </w:rPr>
              <w:t xml:space="preserve">Руководитель отдела продаж (ЛПР)</w:t>
            </w:r>
          </w:p>
        </w:tc>
        <w:tc>
          <w:tcPr>
            <w:tcW w:type="pct" w:w="1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C00000"/>
                <w:sz w:val="22"/>
                <w:szCs w:val="22"/>
              </w:rPr>
              <w:t xml:space="preserve">Юрий Григорьевский</w:t>
            </w:r>
          </w:p>
        </w:tc>
        <w:tc>
          <w:tcPr>
            <w:tcW w:type="pct" w:w="2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C00000"/>
                <w:sz w:val="22"/>
                <w:szCs w:val="22"/>
              </w:rPr>
              <w:t xml:space="preserve">Телефон: 8 903 030-29-65 (моб.)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C00000"/>
                <w:sz w:val="22"/>
                <w:szCs w:val="22"/>
              </w:rPr>
              <w:t xml:space="preserve">E-mail: grigoryevsky@vertical.ru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Онлайн-консультант сайта</w:t>
            </w:r>
          </w:p>
        </w:tc>
        <w:tc>
          <w:tcPr>
            <w:tcW w:type="pct" w:w="1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Устюжанинова Оксана</w:t>
            </w:r>
          </w:p>
        </w:tc>
        <w:tc>
          <w:tcPr>
            <w:tcW w:type="pct" w:w="2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Чат на vertical.ru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(только для общих вопросов)</w:t>
            </w:r>
          </w:p>
        </w:tc>
      </w:tr>
      <w:tr>
        <w:trPr>
          <w:cantSplit/>
        </w:trPr>
        <w:tc>
          <w:tcPr>
            <w:tcW w:type="pct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Ответственный РД со стороны Эмпилс</w:t>
            </w:r>
          </w:p>
        </w:tc>
        <w:tc>
          <w:tcPr>
            <w:tcW w:type="pct" w:w="1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Еремеев В.Н.</w:t>
            </w:r>
          </w:p>
        </w:tc>
        <w:tc>
          <w:tcPr>
            <w:tcW w:type="pct" w:w="2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Регион: Центральный федеральный округ</w:t>
            </w:r>
          </w:p>
          <w:p>
            <w:pPr>
              <w:spacing w:after="40"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Дата последней встречи с клиентом: 01.03.2026</w:t>
            </w:r>
          </w:p>
        </w:tc>
      </w:tr>
    </w:tbl>
    <w:p>
      <w:pPr>
        <w:pStyle w:val="Heading2"/>
        <w:spacing w:after="140" w:before="280" w:line="312"/>
      </w:pPr>
      <w:r>
        <w:rPr>
          <w:rFonts w:ascii="Calibri" w:eastAsia="Calibri"/>
          <w:b/>
          <w:bCs/>
          <w:color w:val="1F4E79"/>
          <w:sz w:val="28"/>
          <w:szCs w:val="28"/>
        </w:rPr>
        <w:t xml:space="preserve">6.2. Общие контакты компании</w:t>
      </w:r>
    </w:p>
    <w:tbl>
      <w:tblPr>
        <w:tblW w:type="pct" w:w="500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D0D0D0" w:sz="1"/>
          <w:insideV w:val="single" w:color="D0D0D0" w:sz="1"/>
        </w:tblBorders>
      </w:tblPr>
      <w:tblGrid>
        <w:gridCol w:w="2197"/>
        <w:gridCol w:w="6591"/>
      </w:tblGrid>
      <w:tr>
        <w:trPr>
          <w:cantSplit/>
          <w:tblHeader/>
        </w:trPr>
        <w:tc>
          <w:tcPr>
            <w:tcW w:type="pct" w:w="125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Канал</w:t>
            </w:r>
          </w:p>
        </w:tc>
        <w:tc>
          <w:tcPr>
            <w:tcW w:type="pct" w:w="375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Сайт</w:t>
            </w:r>
          </w:p>
        </w:tc>
        <w:tc>
          <w:tcPr>
            <w:tcW w:type="pct" w:w="3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F4E79"/>
                <w:sz w:val="22"/>
                <w:szCs w:val="22"/>
              </w:rPr>
              <w:t xml:space="preserve">https://vertical.ru</w:t>
            </w:r>
          </w:p>
        </w:tc>
      </w:tr>
      <w:tr>
        <w:trPr>
          <w:cantSplit/>
        </w:trPr>
        <w:tc>
          <w:tcPr>
            <w:tcW w:type="pct" w:w="1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Многоканальный телефон</w:t>
            </w:r>
          </w:p>
        </w:tc>
        <w:tc>
          <w:tcPr>
            <w:tcW w:type="pct" w:w="3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8 (800) 222-4-000 — бесплатный по РФ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Общая почта</w:t>
            </w:r>
          </w:p>
        </w:tc>
        <w:tc>
          <w:tcPr>
            <w:tcW w:type="pct" w:w="3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F4E79"/>
                <w:sz w:val="22"/>
                <w:szCs w:val="22"/>
              </w:rPr>
              <w:t xml:space="preserve">vopros@vertical.ru</w:t>
            </w:r>
          </w:p>
        </w:tc>
      </w:tr>
      <w:tr>
        <w:trPr>
          <w:cantSplit/>
        </w:trPr>
        <w:tc>
          <w:tcPr>
            <w:tcW w:type="pct" w:w="1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Время работы</w:t>
            </w:r>
          </w:p>
        </w:tc>
        <w:tc>
          <w:tcPr>
            <w:tcW w:type="pct" w:w="3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Пн-Пт, 08:00-17:00 (по МСК)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Личный кабинет B2B</w:t>
            </w:r>
          </w:p>
        </w:tc>
        <w:tc>
          <w:tcPr>
            <w:tcW w:type="pct" w:w="3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Доступ через сайт vertical.ru — для юридических лиц</w:t>
            </w:r>
          </w:p>
        </w:tc>
      </w:tr>
      <w:tr>
        <w:trPr>
          <w:cantSplit/>
        </w:trPr>
        <w:tc>
          <w:tcPr>
            <w:tcW w:type="pct" w:w="1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Форма обратной связи</w:t>
            </w:r>
          </w:p>
        </w:tc>
        <w:tc>
          <w:tcPr>
            <w:tcW w:type="pct" w:w="3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Кнопка «Отправить запрос» в шапке сайта / «Отправьте нам сообщение» в подвале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Маркетплейсы для физлиц</w:t>
            </w:r>
          </w:p>
        </w:tc>
        <w:tc>
          <w:tcPr>
            <w:tcW w:type="pct" w:w="37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OZON, Яндекс.Маркет, Wildberries</w:t>
            </w:r>
          </w:p>
        </w:tc>
      </w:tr>
      <w:tr>
        <w:trPr>
          <w:cantSplit/>
        </w:trPr>
        <w:tc>
          <w:tcPr>
            <w:tcW w:type="pct" w:w="12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Юридический адрес</w:t>
            </w:r>
          </w:p>
        </w:tc>
        <w:tc>
          <w:tcPr>
            <w:tcW w:type="pct" w:w="375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249032, Калужская обл., г. Обнинск, ул. Курсатова, 31А, помещ. 7, офис 3</w:t>
            </w:r>
          </w:p>
        </w:tc>
      </w:tr>
    </w:tbl>
    <w:p>
      <w:pPr>
        <w:pStyle w:val="Heading2"/>
        <w:spacing w:after="140" w:before="280" w:line="312"/>
      </w:pPr>
      <w:r>
        <w:rPr>
          <w:rFonts w:ascii="Calibri" w:eastAsia="Calibri"/>
          <w:b/>
          <w:bCs/>
          <w:color w:val="1F4E79"/>
          <w:sz w:val="28"/>
          <w:szCs w:val="28"/>
        </w:rPr>
        <w:t xml:space="preserve">6.3. Пункты самовывоза по городам (детально)</w:t>
      </w:r>
    </w:p>
    <w:tbl>
      <w:tblPr>
        <w:tblW w:type="pct" w:w="500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D0D0D0" w:sz="1"/>
          <w:insideV w:val="single" w:color="D0D0D0" w:sz="1"/>
        </w:tblBorders>
      </w:tblPr>
      <w:tblGrid>
        <w:gridCol w:w="1758"/>
        <w:gridCol w:w="5273"/>
        <w:gridCol w:w="1758"/>
      </w:tblGrid>
      <w:tr>
        <w:trPr>
          <w:cantSplit/>
          <w:tblHeader/>
        </w:trPr>
        <w:tc>
          <w:tcPr>
            <w:tcW w:type="pct" w:w="1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Город</w:t>
            </w:r>
          </w:p>
        </w:tc>
        <w:tc>
          <w:tcPr>
            <w:tcW w:type="pct" w:w="3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Адрес</w:t>
            </w:r>
          </w:p>
        </w:tc>
        <w:tc>
          <w:tcPr>
            <w:tcW w:type="pct" w:w="1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2"/>
                <w:szCs w:val="22"/>
              </w:rPr>
              <w:t xml:space="preserve">Часы работы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Москва</w:t>
            </w:r>
          </w:p>
        </w:tc>
        <w:tc>
          <w:tcPr>
            <w:tcW w:type="pct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Аэропортовская ул., 14, р.п. Быково, Раменский р-н</w:t>
            </w:r>
          </w:p>
        </w:tc>
        <w:tc>
          <w:tcPr>
            <w:tcW w:type="pct" w:w="1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Пн-Пт 08:00-17:00</w:t>
            </w:r>
          </w:p>
        </w:tc>
      </w:tr>
      <w:tr>
        <w:trPr>
          <w:cantSplit/>
        </w:trPr>
        <w:tc>
          <w:tcPr>
            <w:tcW w:type="pct" w:w="1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Санкт-Петербург</w:t>
            </w:r>
          </w:p>
        </w:tc>
        <w:tc>
          <w:tcPr>
            <w:tcW w:type="pct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Кубинская ул., 75к1</w:t>
            </w:r>
          </w:p>
        </w:tc>
        <w:tc>
          <w:tcPr>
            <w:tcW w:type="pct" w:w="1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Пн-Пт 08:00-17:00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Воронеж</w:t>
            </w:r>
          </w:p>
        </w:tc>
        <w:tc>
          <w:tcPr>
            <w:tcW w:type="pct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Базовая ул., 9Б</w:t>
            </w:r>
          </w:p>
        </w:tc>
        <w:tc>
          <w:tcPr>
            <w:tcW w:type="pct" w:w="1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Пн-Пт 08:00-15:00</w:t>
            </w:r>
          </w:p>
        </w:tc>
      </w:tr>
      <w:tr>
        <w:trPr>
          <w:cantSplit/>
        </w:trPr>
        <w:tc>
          <w:tcPr>
            <w:tcW w:type="pct" w:w="1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Нижний Новгород</w:t>
            </w:r>
          </w:p>
        </w:tc>
        <w:tc>
          <w:tcPr>
            <w:tcW w:type="pct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Федосеенко ул., 43</w:t>
            </w:r>
          </w:p>
        </w:tc>
        <w:tc>
          <w:tcPr>
            <w:tcW w:type="pct" w:w="1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Пн-Пт 08:00-15:00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Вологда</w:t>
            </w:r>
          </w:p>
        </w:tc>
        <w:tc>
          <w:tcPr>
            <w:tcW w:type="pct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Александра Клубова ул., 44А</w:t>
            </w:r>
          </w:p>
        </w:tc>
        <w:tc>
          <w:tcPr>
            <w:tcW w:type="pct" w:w="1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Пн-Пт 08:00-15:00</w:t>
            </w:r>
          </w:p>
        </w:tc>
      </w:tr>
      <w:tr>
        <w:trPr>
          <w:cantSplit/>
        </w:trPr>
        <w:tc>
          <w:tcPr>
            <w:tcW w:type="pct" w:w="1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Орёл</w:t>
            </w:r>
          </w:p>
        </w:tc>
        <w:tc>
          <w:tcPr>
            <w:tcW w:type="pct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Силикатный пер., 1</w:t>
            </w:r>
          </w:p>
        </w:tc>
        <w:tc>
          <w:tcPr>
            <w:tcW w:type="pct" w:w="1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Пн-Пт 08:00-15:00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Рязань</w:t>
            </w:r>
          </w:p>
        </w:tc>
        <w:tc>
          <w:tcPr>
            <w:tcW w:type="pct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Ряжское ш., д. 20</w:t>
            </w:r>
          </w:p>
        </w:tc>
        <w:tc>
          <w:tcPr>
            <w:tcW w:type="pct" w:w="1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Пн-Пт 08:00-15:00</w:t>
            </w:r>
          </w:p>
        </w:tc>
      </w:tr>
      <w:tr>
        <w:trPr>
          <w:cantSplit/>
        </w:trPr>
        <w:tc>
          <w:tcPr>
            <w:tcW w:type="pct" w:w="1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/>
                <w:bCs/>
                <w:color w:val="1A1A1A"/>
                <w:sz w:val="22"/>
                <w:szCs w:val="22"/>
              </w:rPr>
              <w:t xml:space="preserve">Иваново</w:t>
            </w:r>
          </w:p>
        </w:tc>
        <w:tc>
          <w:tcPr>
            <w:tcW w:type="pct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Коляново д., Рябиновая ул., стр. 11д, корп. 2</w:t>
            </w:r>
          </w:p>
        </w:tc>
        <w:tc>
          <w:tcPr>
            <w:tcW w:type="pct" w:w="1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Calibri"/>
                <w:b w:val="false"/>
                <w:bCs w:val="false"/>
                <w:color w:val="1A1A1A"/>
                <w:sz w:val="22"/>
                <w:szCs w:val="22"/>
              </w:rPr>
              <w:t xml:space="preserve">Пн-Пт 08:00-15:00</w:t>
            </w:r>
          </w:p>
        </w:tc>
      </w:tr>
    </w:tbl>
    <w:p>
      <w:pPr>
        <w:pStyle w:val="Heading1"/>
        <w:spacing w:after="180" w:before="360" w:line="312"/>
      </w:pPr>
      <w:r>
        <w:rPr>
          <w:rFonts w:ascii="Calibri" w:eastAsia="Calibri"/>
          <w:b/>
          <w:bCs/>
          <w:color w:val="1F4E79"/>
          <w:sz w:val="32"/>
          <w:szCs w:val="32"/>
        </w:rPr>
        <w:t xml:space="preserve">7. Переговорная позиция</w:t>
      </w:r>
    </w:p>
    <w:p>
      <w:pPr>
        <w:pStyle w:val="Heading2"/>
        <w:spacing w:after="140" w:before="280" w:line="312"/>
      </w:pPr>
      <w:r>
        <w:rPr>
          <w:rFonts w:ascii="Calibri" w:eastAsia="Calibri"/>
          <w:b/>
          <w:bCs/>
          <w:color w:val="1F4E79"/>
          <w:sz w:val="28"/>
          <w:szCs w:val="28"/>
        </w:rPr>
        <w:t xml:space="preserve">7.1. Текущий статус переговоров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По данным внутренней CRM-карточки Эмпилс, переговоры с «Вертикалью» находятся в следующем состоянии: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Дата последней встречи: </w:t>
      </w:r>
      <w:r>
        <w:rPr>
          <w:rFonts w:ascii="Calibri" w:eastAsia="Calibri"/>
          <w:color w:val="1A1A1A"/>
          <w:sz w:val="22"/>
          <w:szCs w:val="22"/>
        </w:rPr>
        <w:t xml:space="preserve">01.03.2026 г.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Ответственный РД со стороны Эмпилс: </w:t>
      </w:r>
      <w:r>
        <w:rPr>
          <w:rFonts w:ascii="Calibri" w:eastAsia="Calibri"/>
          <w:color w:val="1A1A1A"/>
          <w:sz w:val="22"/>
          <w:szCs w:val="22"/>
        </w:rPr>
        <w:t xml:space="preserve">Еремеев В.Н. (Центральный федеральный округ).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Статус рассмотрения КП: </w:t>
      </w:r>
      <w:r>
        <w:rPr>
          <w:rFonts w:ascii="Calibri" w:eastAsia="Calibri"/>
          <w:color w:val="1A1A1A"/>
          <w:sz w:val="22"/>
          <w:szCs w:val="22"/>
        </w:rPr>
        <w:t xml:space="preserve">клиент рассмотрел коммерческое предложение, ожидает переговоров в сентябре 2026 г.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Calibri"/>
          <w:b/>
          <w:bCs/>
          <w:color w:val="C00000"/>
          <w:sz w:val="22"/>
          <w:szCs w:val="22"/>
        </w:rPr>
        <w:t xml:space="preserve">Зафиксированное возражение: </w:t>
      </w:r>
      <w:r>
        <w:rPr>
          <w:rFonts w:ascii="Calibri" w:eastAsia="Calibri"/>
          <w:color w:val="1A1A1A"/>
          <w:sz w:val="22"/>
          <w:szCs w:val="22"/>
        </w:rPr>
        <w:t xml:space="preserve">«на сезон 2026 г. новых контрактов не заключают».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Согласованные следующие шаги: </w:t>
      </w:r>
      <w:r>
        <w:rPr>
          <w:rFonts w:ascii="Calibri" w:eastAsia="Calibri"/>
          <w:color w:val="1A1A1A"/>
          <w:sz w:val="22"/>
          <w:szCs w:val="22"/>
        </w:rPr>
        <w:t xml:space="preserve">повторные переговоры в сентябре 2026 г.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Зафиксированный инструмент работы с клиентом: </w:t>
      </w:r>
      <w:r>
        <w:rPr>
          <w:rFonts w:ascii="Calibri" w:eastAsia="Calibri"/>
          <w:b w:val="false"/>
          <w:bCs w:val="false"/>
          <w:i/>
          <w:iCs/>
          <w:color w:val="1A1A1A"/>
          <w:sz w:val="22"/>
          <w:szCs w:val="22"/>
        </w:rPr>
        <w:t xml:space="preserve">разведение ассортимента Эмпилс на непересекающиеся наименования с уже работающим дистрибьютором на территории; акцент на заинтересованности клиента в дешёвой СТМ</w:t>
      </w:r>
      <w:r>
        <w:rPr>
          <w:rFonts w:ascii="Calibri" w:eastAsia="Calibri"/>
          <w:color w:val="1A1A1A"/>
          <w:sz w:val="22"/>
          <w:szCs w:val="22"/>
        </w:rPr>
        <w:t xml:space="preserve">. Эти два направления должны стать основой повестки следующей встречи.</w:t>
      </w:r>
    </w:p>
    <w:p>
      <w:pPr>
        <w:pStyle w:val="Heading2"/>
        <w:spacing w:after="140" w:before="280" w:line="312"/>
      </w:pPr>
      <w:r>
        <w:rPr>
          <w:rFonts w:ascii="Calibri" w:eastAsia="Calibri"/>
          <w:b/>
          <w:bCs/>
          <w:color w:val="1F4E79"/>
          <w:sz w:val="28"/>
          <w:szCs w:val="28"/>
        </w:rPr>
        <w:t xml:space="preserve">7.2. Сильные стороны «Вертикали» как контрагента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548235"/>
          <w:sz w:val="22"/>
          <w:szCs w:val="22"/>
        </w:rPr>
        <w:t xml:space="preserve">Масштаб и охват: </w:t>
      </w:r>
      <w:r>
        <w:rPr>
          <w:rFonts w:ascii="Calibri" w:eastAsia="Calibri"/>
          <w:color w:val="1A1A1A"/>
          <w:sz w:val="22"/>
          <w:szCs w:val="22"/>
        </w:rPr>
        <w:t xml:space="preserve">30-летний опыт, 7 региональных складов, 900 сотрудников, 20 000 покупателей, география от Москвы до Урала.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548235"/>
          <w:sz w:val="22"/>
          <w:szCs w:val="22"/>
        </w:rPr>
        <w:t xml:space="preserve">Устойчивый рост: </w:t>
      </w:r>
      <w:r>
        <w:rPr>
          <w:rFonts w:ascii="Calibri" w:eastAsia="Calibri"/>
          <w:color w:val="1A1A1A"/>
          <w:sz w:val="22"/>
          <w:szCs w:val="22"/>
        </w:rPr>
        <w:t xml:space="preserve">прирост выручки e-commerce +26%, профканала +21%, торговых сетей +11% в юбилейном 2026 г. Компания не стагнирует, а инвестирует в развитие.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548235"/>
          <w:sz w:val="22"/>
          <w:szCs w:val="22"/>
        </w:rPr>
        <w:t xml:space="preserve">B2B-фокус: </w:t>
      </w:r>
      <w:r>
        <w:rPr>
          <w:rFonts w:ascii="Calibri" w:eastAsia="Calibri"/>
          <w:color w:val="1A1A1A"/>
          <w:sz w:val="22"/>
          <w:szCs w:val="22"/>
        </w:rPr>
        <w:t xml:space="preserve">сотрудничество только с юрлицами + собственный личный кабинет для заказов 24/7 (5000+ активных клиентов). Это идеальный канал для оптовых поставок Эмпилс.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548235"/>
          <w:sz w:val="22"/>
          <w:szCs w:val="22"/>
        </w:rPr>
        <w:t xml:space="preserve">ЛКМ-специализация: </w:t>
      </w:r>
      <w:r>
        <w:rPr>
          <w:rFonts w:ascii="Calibri" w:eastAsia="Calibri"/>
          <w:color w:val="1A1A1A"/>
          <w:sz w:val="22"/>
          <w:szCs w:val="22"/>
        </w:rPr>
        <w:t xml:space="preserve">10.04.2026 компания сменила основной ОКВЭД на «Торговля оптовая лакокрасочными материалами» — это стратегическое подтверждение фокуса на ЛКМ. Эмпилс попадает в ядро их бизнес-модели.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548235"/>
          <w:sz w:val="22"/>
          <w:szCs w:val="22"/>
        </w:rPr>
        <w:t xml:space="preserve">Розничная сеть «ДомДом» и маркетплейсы: </w:t>
      </w:r>
      <w:r>
        <w:rPr>
          <w:rFonts w:ascii="Calibri" w:eastAsia="Calibri"/>
          <w:color w:val="1A1A1A"/>
          <w:sz w:val="22"/>
          <w:szCs w:val="22"/>
        </w:rPr>
        <w:t xml:space="preserve">дополнительный канал сбыта для товаров Эмпилс, помимо оптового.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548235"/>
          <w:sz w:val="22"/>
          <w:szCs w:val="22"/>
        </w:rPr>
        <w:t xml:space="preserve">Развитая цифровая инфраструктура: </w:t>
      </w:r>
      <w:r>
        <w:rPr>
          <w:rFonts w:ascii="Calibri" w:eastAsia="Calibri"/>
          <w:color w:val="1A1A1A"/>
          <w:sz w:val="22"/>
          <w:szCs w:val="22"/>
        </w:rPr>
        <w:t xml:space="preserve">CRM-система, личный кабинет, онлайн-заказы 24/7 — снижает операционные издержки на интеграцию нового поставщика.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548235"/>
          <w:sz w:val="22"/>
          <w:szCs w:val="22"/>
        </w:rPr>
        <w:t xml:space="preserve">Упрощённая структура собственности: </w:t>
      </w:r>
      <w:r>
        <w:rPr>
          <w:rFonts w:ascii="Calibri" w:eastAsia="Calibri"/>
          <w:color w:val="1A1A1A"/>
          <w:sz w:val="22"/>
          <w:szCs w:val="22"/>
        </w:rPr>
        <w:t xml:space="preserve">единственный учредитель = генеральный директор. Решения принимаются быстро, без корпоративных согласований.</w:t>
      </w:r>
    </w:p>
    <w:p>
      <w:pPr>
        <w:pStyle w:val="Heading2"/>
        <w:spacing w:after="140" w:before="280" w:line="312"/>
      </w:pPr>
      <w:r>
        <w:rPr>
          <w:rFonts w:ascii="Calibri" w:eastAsia="Calibri"/>
          <w:b/>
          <w:bCs/>
          <w:color w:val="1F4E79"/>
          <w:sz w:val="28"/>
          <w:szCs w:val="28"/>
        </w:rPr>
        <w:t xml:space="preserve">7.3. Риски и зоны внимания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C00000"/>
          <w:sz w:val="22"/>
          <w:szCs w:val="22"/>
        </w:rPr>
        <w:t xml:space="preserve">Возражение по сезону 2026: </w:t>
      </w:r>
      <w:r>
        <w:rPr>
          <w:rFonts w:ascii="Calibri" w:eastAsia="Calibri"/>
          <w:color w:val="1A1A1A"/>
          <w:sz w:val="22"/>
          <w:szCs w:val="22"/>
        </w:rPr>
        <w:t xml:space="preserve">клиент прямо заявил, что на сезон 2026 г. новых контрактов не заключает. Сентябрь 2026 г. — крайний срок для переговоров о контракте на сезон 2027 г. Просрочка = потеря сезона.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C00000"/>
          <w:sz w:val="22"/>
          <w:szCs w:val="22"/>
        </w:rPr>
        <w:t xml:space="preserve">Конкуренция с уже работающим дистрибьютором: </w:t>
      </w:r>
      <w:r>
        <w:rPr>
          <w:rFonts w:ascii="Calibri" w:eastAsia="Calibri"/>
          <w:color w:val="1A1A1A"/>
          <w:sz w:val="22"/>
          <w:szCs w:val="22"/>
        </w:rPr>
        <w:t xml:space="preserve">на территории есть ещё один дистрибьютор Эмпилс — требуется развести ассортимент по непересекающимся SKU, иначе каннибализируем собственные продажи.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BF8F00"/>
          <w:sz w:val="22"/>
          <w:szCs w:val="22"/>
        </w:rPr>
        <w:t xml:space="preserve">Уже сильные позиции Текс/Лакра: </w:t>
      </w:r>
      <w:r>
        <w:rPr>
          <w:rFonts w:ascii="Calibri" w:eastAsia="Calibri"/>
          <w:color w:val="1A1A1A"/>
          <w:sz w:val="22"/>
          <w:szCs w:val="22"/>
        </w:rPr>
        <w:t xml:space="preserve">в сегменте масс-маркет «Вертикаль» уже работает с двумя ведущими брендами. Замещение их на Ореол/Расцвет потребует весомых ценовых или сервисных аргументов.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BF8F00"/>
          <w:sz w:val="22"/>
          <w:szCs w:val="22"/>
        </w:rPr>
        <w:t xml:space="preserve">Концентрация решений в одних руках: </w:t>
      </w:r>
      <w:r>
        <w:rPr>
          <w:rFonts w:ascii="Calibri" w:eastAsia="Calibri"/>
          <w:color w:val="1A1A1A"/>
          <w:sz w:val="22"/>
          <w:szCs w:val="22"/>
        </w:rPr>
        <w:t xml:space="preserve">Евдоков В.И. — единственный учредитель и директор. Если по какой-то причине он недоступен или меняет стратегию, переговоры могут застопориться.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BF8F00"/>
          <w:sz w:val="22"/>
          <w:szCs w:val="22"/>
        </w:rPr>
        <w:t xml:space="preserve">Отсутствие публичных финансовых данных: </w:t>
      </w:r>
      <w:r>
        <w:rPr>
          <w:rFonts w:ascii="Calibri" w:eastAsia="Calibri"/>
          <w:color w:val="1A1A1A"/>
          <w:sz w:val="22"/>
          <w:szCs w:val="22"/>
        </w:rPr>
        <w:t xml:space="preserve">прибыль и рентабельность не раскрыты в открытых источниках. Перед заключением крупного контракта желательна проверка через СПАРК/Контур.Фокус для оценки платёжеспособности.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b/>
          <w:bCs/>
          <w:color w:val="BF8F00"/>
          <w:sz w:val="22"/>
          <w:szCs w:val="22"/>
        </w:rPr>
        <w:t xml:space="preserve">Широкая диверсификация: </w:t>
      </w:r>
      <w:r>
        <w:rPr>
          <w:rFonts w:ascii="Calibri" w:eastAsia="Calibri"/>
          <w:color w:val="1A1A1A"/>
          <w:sz w:val="22"/>
          <w:szCs w:val="22"/>
        </w:rPr>
        <w:t xml:space="preserve">26 ОКВЭД, ассортимент 35 000 SKU по 22 категориям. ЛКМ — только часть бизнеса (~20% SKU). Эмпилс не получит эксклюзивного внимания, нужно бороться за долю в фокусе команды.</w:t>
      </w:r>
    </w:p>
    <w:p>
      <w:pPr>
        <w:pStyle w:val="Heading2"/>
        <w:spacing w:after="140" w:before="280" w:line="312"/>
      </w:pPr>
      <w:r>
        <w:rPr>
          <w:rFonts w:ascii="Calibri" w:eastAsia="Calibri"/>
          <w:b/>
          <w:bCs/>
          <w:color w:val="1F4E79"/>
          <w:sz w:val="28"/>
          <w:szCs w:val="28"/>
        </w:rPr>
        <w:t xml:space="preserve">7.4. Возможность СТМ-партнёрства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Это ключевая точка захода на переговоры. «Вертикаль» уже имеет собственную ТМ V (например, грунт-эмаль 3 в 1 V), запущенную в 2008 году и активно укрепляемую с 2021 г. В истории компании указано: </w:t>
      </w:r>
      <w:r>
        <w:rPr>
          <w:rFonts w:ascii="Calibri" w:eastAsia="Calibri"/>
          <w:b w:val="false"/>
          <w:bCs w:val="false"/>
          <w:i/>
          <w:iCs/>
          <w:color w:val="1A1A1A"/>
          <w:sz w:val="22"/>
          <w:szCs w:val="22"/>
        </w:rPr>
        <w:t xml:space="preserve">«укрепление портфеля собственных торговых марок в ЛКМ, инструменте и товарах для сада»</w:t>
      </w:r>
      <w:r>
        <w:rPr>
          <w:rFonts w:ascii="Calibri" w:eastAsia="Calibri"/>
          <w:color w:val="1A1A1A"/>
          <w:sz w:val="22"/>
          <w:szCs w:val="22"/>
        </w:rPr>
        <w:t xml:space="preserve">. В клиентской карточке зафиксирован прямой интерес клиента к </w:t>
      </w:r>
      <w:r>
        <w:rPr>
          <w:rFonts w:ascii="Calibri" w:eastAsia="Calibri"/>
          <w:b/>
          <w:bCs/>
          <w:i w:val="false"/>
          <w:iCs w:val="false"/>
          <w:color w:val="C00000"/>
          <w:sz w:val="22"/>
          <w:szCs w:val="22"/>
        </w:rPr>
        <w:t xml:space="preserve">«изготовлению собственных ТМ»</w:t>
      </w:r>
      <w:r>
        <w:rPr>
          <w:rFonts w:ascii="Calibri" w:eastAsia="Calibri"/>
          <w:color w:val="1A1A1A"/>
          <w:sz w:val="22"/>
          <w:szCs w:val="22"/>
        </w:rPr>
        <w:t xml:space="preserve"> и его готовность рассмотреть дешёвую СТМ.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Эмпилс как завод-производитель с собственными ЛКМ-линейками (Ореол, Ореол Дисконт, Простокрашено! БАУ, Расцвет) может предложить «Вертикали» </w:t>
      </w:r>
      <w:r>
        <w:rPr>
          <w:rFonts w:ascii="Calibri" w:eastAsia="Calibri"/>
          <w:b/>
          <w:bCs/>
          <w:i w:val="false"/>
          <w:iCs w:val="false"/>
          <w:color w:val="C00000"/>
          <w:sz w:val="22"/>
          <w:szCs w:val="22"/>
        </w:rPr>
        <w:t xml:space="preserve">контрактное производство дешёвой СТМ под брендом клиента</w:t>
      </w:r>
      <w:r>
        <w:rPr>
          <w:rFonts w:ascii="Calibri" w:eastAsia="Calibri"/>
          <w:color w:val="1A1A1A"/>
          <w:sz w:val="22"/>
          <w:szCs w:val="22"/>
        </w:rPr>
        <w:t xml:space="preserve">. Это даёт «Вертикали» маржинальность и независимость от внешних брендов, а Эмпилс получает стабильный объём отгрузок и нового канального партнёра. Конкретные категории для СТМ-партнёрства: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Грунт-эмали 3 в 1 (по аналогии с существующей СТМ V, но расширение по цветам и фасовкам).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Краски интерьерные и фасадные в эконом-сегменте (Ореол Дисконт как референс).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Эмали ПФ-115 (самый ходовой SKU в ABC-анализе по дистрибьюторам Эмпилс).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Грунтовки (ГФ-021, акриловые, глубокого проникновения).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Защитно-декоративные покрытия для дерева (конкурент Акватексу).</w:t>
      </w:r>
    </w:p>
    <w:p>
      <w:pPr>
        <w:pStyle w:val="Heading1"/>
        <w:spacing w:after="180" w:before="360" w:line="312"/>
      </w:pPr>
      <w:r>
        <w:rPr>
          <w:rFonts w:ascii="Calibri" w:eastAsia="Calibri"/>
          <w:b/>
          <w:bCs/>
          <w:color w:val="1F4E79"/>
          <w:sz w:val="32"/>
          <w:szCs w:val="32"/>
        </w:rPr>
        <w:t xml:space="preserve">8. Краткие выводы и рекомендации для переговоров</w:t>
      </w:r>
    </w:p>
    <w:p>
      <w:pPr>
        <w:spacing w:after="120" w:line="312"/>
        <w:ind w:firstLine="420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Основные выводы по компании «Вертикаль» и рекомендации для подготовки к повторным переговорам в сентябре 2026 г.: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Calibri"/>
          <w:b/>
          <w:bCs/>
          <w:color w:val="548235"/>
          <w:sz w:val="22"/>
          <w:szCs w:val="22"/>
        </w:rPr>
        <w:t xml:space="preserve">Контрагент крупный и устойчивый: </w:t>
      </w:r>
      <w:r>
        <w:rPr>
          <w:rFonts w:ascii="Calibri" w:eastAsia="Calibri"/>
          <w:color w:val="1A1A1A"/>
          <w:sz w:val="22"/>
          <w:szCs w:val="22"/>
        </w:rPr>
        <w:t xml:space="preserve">30 лет на рынке, 12 млрд руб. выручки (2025), 7 складов, 900 сотрудников, 20 000 покупателей. Банкротство или неплатёжеспособность маловероятны — это надёжный долгосрочный партнёр.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Переговоры идти обязательно: </w:t>
      </w:r>
      <w:r>
        <w:rPr>
          <w:rFonts w:ascii="Calibri" w:eastAsia="Calibri"/>
          <w:color w:val="1A1A1A"/>
          <w:sz w:val="22"/>
          <w:szCs w:val="22"/>
        </w:rPr>
        <w:t xml:space="preserve">10.04.2026 компания сменила основной ОКВЭД на «оптовая торговля ЛКМ» — это стратегический фокус на нашей категории. Эмпилс попадает в зону их главного интереса.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Calibri"/>
          <w:b/>
          <w:bCs/>
          <w:color w:val="C00000"/>
          <w:sz w:val="22"/>
          <w:szCs w:val="22"/>
        </w:rPr>
        <w:t xml:space="preserve">Главный козырь — СТМ: </w:t>
      </w:r>
      <w:r>
        <w:rPr>
          <w:rFonts w:ascii="Calibri" w:eastAsia="Calibri"/>
          <w:color w:val="1A1A1A"/>
          <w:sz w:val="22"/>
          <w:szCs w:val="22"/>
        </w:rPr>
        <w:t xml:space="preserve">клиент уже имеет СТМ V и прямо заинтересован в дешёвой собственной ТМ. Эмпилс как завод-производитель должен прийти с конкретным предложением по контрактному производству 3–5 SKU под брендом «Вертикали».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Calibri"/>
          <w:b/>
          <w:bCs/>
          <w:color w:val="BF8F00"/>
          <w:sz w:val="22"/>
          <w:szCs w:val="22"/>
        </w:rPr>
        <w:t xml:space="preserve">Безопасное замещение: </w:t>
      </w:r>
      <w:r>
        <w:rPr>
          <w:rFonts w:ascii="Calibri" w:eastAsia="Calibri"/>
          <w:color w:val="1A1A1A"/>
          <w:sz w:val="22"/>
          <w:szCs w:val="22"/>
        </w:rPr>
        <w:t xml:space="preserve">предлагать бренды Эмпилс (Ореол, ОРЕОЛ TITAN, Расцвет, Простокрашено! БАУ, Ореол Дисконт) на замену Тексу, Лакре и Рогнеде — только в непересекающихся SKU, чтобы не каннибализировать продажи уже работающего на территории дистрибьютора Эмпилс.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Calibri"/>
          <w:b/>
          <w:bCs/>
          <w:color w:val="548235"/>
          <w:sz w:val="22"/>
          <w:szCs w:val="22"/>
        </w:rPr>
        <w:t xml:space="preserve">Заход через премиум-сегмент: </w:t>
      </w:r>
      <w:r>
        <w:rPr>
          <w:rFonts w:ascii="Calibri" w:eastAsia="Calibri"/>
          <w:color w:val="1A1A1A"/>
          <w:sz w:val="22"/>
          <w:szCs w:val="22"/>
        </w:rPr>
        <w:t xml:space="preserve">AvantGarde и NEWTONE не конкурируют напрямую с Лакрой/Тексом — это дополнение к Tikkurila и ABC Farben. Заход через премиум менее конфликтен.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Calibri"/>
          <w:b/>
          <w:bCs/>
          <w:color w:val="BF8F00"/>
          <w:sz w:val="22"/>
          <w:szCs w:val="22"/>
        </w:rPr>
        <w:t xml:space="preserve">Подготовить расширенную финпроверку: </w:t>
      </w:r>
      <w:r>
        <w:rPr>
          <w:rFonts w:ascii="Calibri" w:eastAsia="Calibri"/>
          <w:color w:val="1A1A1A"/>
          <w:sz w:val="22"/>
          <w:szCs w:val="22"/>
        </w:rPr>
        <w:t xml:space="preserve">через СПАРК или Контур.Фокус до переговоров получить данные по прибыли, рентабельности, арбитражной практике. Это позволит точнее оценить кредитный лимит и условия отсрочки платежа.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Канал захода: </w:t>
      </w:r>
      <w:r>
        <w:rPr>
          <w:rFonts w:ascii="Calibri" w:eastAsia="Calibri"/>
          <w:color w:val="1A1A1A"/>
          <w:sz w:val="22"/>
          <w:szCs w:val="22"/>
        </w:rPr>
        <w:t xml:space="preserve">ЛПР — Юрий Григорьевский (8 903 030-29-65, grigoryevsky@vertical.ru). При недоступности — многоканальный 8 800 222-4-000 или форма обратной связи на сайте. До сентябрьской встречи — связаться в августе для подтверждения даты и повестки.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Calibri"/>
          <w:b/>
          <w:bCs/>
          <w:color w:val="C00000"/>
          <w:sz w:val="22"/>
          <w:szCs w:val="22"/>
        </w:rPr>
        <w:t xml:space="preserve">Учитывать сроки: </w:t>
      </w:r>
      <w:r>
        <w:rPr>
          <w:rFonts w:ascii="Calibri" w:eastAsia="Calibri"/>
          <w:color w:val="1A1A1A"/>
          <w:sz w:val="22"/>
          <w:szCs w:val="22"/>
        </w:rPr>
        <w:t xml:space="preserve">возражение клиента — «на сезон 2026 г. новых контрактов не заключают». Цель — закрыть переговоры до конца сентября 2026 г., чтобы попасть в бюджет сезона 2027 г.</w:t>
      </w:r>
    </w:p>
    <w:p>
      <w:pPr>
        <w:pStyle w:val="Heading1"/>
        <w:spacing w:after="180" w:before="360" w:line="312"/>
      </w:pPr>
      <w:r>
        <w:rPr>
          <w:rFonts w:ascii="Calibri" w:eastAsia="Calibri"/>
          <w:b/>
          <w:bCs/>
          <w:color w:val="1F4E79"/>
          <w:sz w:val="32"/>
          <w:szCs w:val="32"/>
        </w:rPr>
        <w:t xml:space="preserve">Источники информации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Выписка из ЕГРЮЛ по ИНН 5027161766, полученная через сервис ФНС egrul.nalog.ru 21.10.2026 (10 страниц).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Сайт ООО «Вертикаль» — https://vertical.ru: главная страница, страница «О компании» (/company), «Контакты» (/contacts), «Доставка» (/about-delivery), «Новости» (/news), каталог ЛКМ (/catalog/lakokrasocnye-materialy).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Внутренняя CRM-карточка Эмпилс: лист «Белые пятна», строка «Вертикаль» (файл «Вертикаль.xlsx»).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Calibri"/>
          <w:color w:val="1A1A1A"/>
          <w:sz w:val="22"/>
          <w:szCs w:val="22"/>
        </w:rPr>
        <w:t xml:space="preserve">Лист «Программы» из файла «Вертикаль.xlsx» — информация о программах работы с ключевыми дистрибьюторами в Центральном федеральном округе.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 w:eastAsia="Calibri"/>
        <w:color w:val="808080"/>
        <w:sz w:val="18"/>
        <w:szCs w:val="18"/>
      </w:rPr>
      <w:t xml:space="preserve">Стр. </w:t>
    </w:r>
    <w:r>
      <w:rPr>
        <w:rFonts w:ascii="Calibri" w:eastAsia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Calibri"/>
        <w:color w:val="808080"/>
        <w:sz w:val="18"/>
        <w:szCs w:val="18"/>
      </w:rPr>
      <w:t xml:space="preserve"> из </w:t>
    </w:r>
    <w:r>
      <w:rPr>
        <w:rFonts w:ascii="Calibri" w:eastAsia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center"/>
    </w:pPr>
    <w:r>
      <w:rPr>
        <w:rFonts w:ascii="Calibri" w:eastAsia="Calibri"/>
        <w:i/>
        <w:iCs/>
        <w:color w:val="808080"/>
        <w:sz w:val="18"/>
        <w:szCs w:val="18"/>
      </w:rPr>
      <w:t xml:space="preserve">Справка: ООО «Вертикаль» (ИНН 5027161766) — внутренний документ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/>
        <w:color w:val="1A1A1A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Справка по дистрибьютору «Вертикаль»</dc:title>
  <dc:creator>Z.ai</dc:creator>
  <dc:description>Сводная бизнес-аналитическая справка по ООО «Вертикаль» (ИНН 5027161766)</dc:description>
  <cp:lastModifiedBy>Un-named</cp:lastModifiedBy>
  <cp:revision>1</cp:revision>
  <dcterms:created xsi:type="dcterms:W3CDTF">2026-10-21T05:10:06.100Z</dcterms:created>
  <dcterms:modified xsi:type="dcterms:W3CDTF">2026-10-21T05:10:06.100Z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