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Inter" w:hAnsi="Inter"/>
          <w:b/>
          <w:color w:val="2F3A48"/>
          <w:sz w:val="32"/>
        </w:rPr>
        <w:t>Коммерческое предложение ЗАО «Эмпилс»</w:t>
      </w:r>
    </w:p>
    <w:p>
      <w:pPr>
        <w:jc w:val="center"/>
      </w:pPr>
      <w:r>
        <w:rPr>
          <w:rFonts w:ascii="Inter" w:hAnsi="Inter"/>
          <w:i/>
          <w:color w:val="8A95A3"/>
          <w:sz w:val="18"/>
        </w:rPr>
        <w:t>Партнёр: Олимп · Новосибирская, Томская, Кемеровская обл., Алтайский край, Республика Алтай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6B8FA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4"/>
              </w:rPr>
              <w:t>ПОТЕНЦИАЛ РЫНКА</w:t>
            </w:r>
          </w:p>
        </w:tc>
        <w:tc>
          <w:tcPr>
            <w:tcW w:type="dxa" w:w="2550"/>
            <w:shd w:fill="C9A77C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4"/>
              </w:rPr>
              <w:t>ФАКТИЧЕСКИЙ ТО</w:t>
            </w:r>
          </w:p>
        </w:tc>
        <w:tc>
          <w:tcPr>
            <w:tcW w:type="dxa" w:w="2550"/>
            <w:shd w:fill="C00000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4"/>
              </w:rPr>
              <w:t>НЕДОЗАГРУЗКА</w:t>
            </w:r>
          </w:p>
        </w:tc>
        <w:tc>
          <w:tcPr>
            <w:tcW w:type="dxa" w:w="2550"/>
            <w:shd w:fill="2ECC71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4"/>
              </w:rPr>
              <w:t>ДОЛЯ ЭМПИЛС 8%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Roboto Mono" w:hAnsi="Roboto Mono"/>
                <w:b/>
                <w:color w:val="6B8FA8"/>
                <w:sz w:val="28"/>
              </w:rPr>
              <w:t>3.3 млрд ₽</w:t>
            </w:r>
          </w:p>
          <w:p>
            <w:pPr>
              <w:jc w:val="center"/>
            </w:pPr>
            <w:r>
              <w:rPr>
                <w:rFonts w:ascii="Inter" w:hAnsi="Inter"/>
                <w:color w:val="8A95A3"/>
                <w:sz w:val="14"/>
              </w:rPr>
              <w:t>50 700 т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Roboto Mono" w:hAnsi="Roboto Mono"/>
                <w:b/>
                <w:color w:val="C9A77C"/>
                <w:sz w:val="28"/>
              </w:rPr>
              <w:t>1.1 млрд ₽</w:t>
            </w:r>
          </w:p>
          <w:p>
            <w:pPr>
              <w:jc w:val="center"/>
            </w:pPr>
            <w:r>
              <w:rPr>
                <w:rFonts w:ascii="Inter" w:hAnsi="Inter"/>
                <w:color w:val="8A95A3"/>
                <w:sz w:val="14"/>
              </w:rPr>
              <w:t>14 286 т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Roboto Mono" w:hAnsi="Roboto Mono"/>
                <w:b/>
                <w:color w:val="C00000"/>
                <w:sz w:val="28"/>
              </w:rPr>
              <w:t>2.7 млрд ₽</w:t>
            </w:r>
          </w:p>
          <w:p>
            <w:pPr>
              <w:jc w:val="center"/>
            </w:pPr>
            <w:r>
              <w:rPr>
                <w:rFonts w:ascii="Inter" w:hAnsi="Inter"/>
                <w:color w:val="8A95A3"/>
                <w:sz w:val="14"/>
              </w:rPr>
              <w:t>67% рынка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Roboto Mono" w:hAnsi="Roboto Mono"/>
                <w:b/>
                <w:color w:val="1A7D44"/>
                <w:sz w:val="28"/>
              </w:rPr>
              <w:t>312 млн ₽</w:t>
            </w:r>
          </w:p>
          <w:p>
            <w:pPr>
              <w:jc w:val="center"/>
            </w:pPr>
            <w:r>
              <w:rPr>
                <w:rFonts w:ascii="Inter" w:hAnsi="Inter"/>
                <w:color w:val="8A95A3"/>
                <w:sz w:val="14"/>
              </w:rPr>
              <w:t>цель на 3 года</w:t>
            </w:r>
          </w:p>
        </w:tc>
      </w:tr>
    </w:tbl>
    <w:p/>
    <w:p>
      <w:r>
        <w:rPr>
          <w:rFonts w:ascii="Inter" w:hAnsi="Inter"/>
          <w:b/>
          <w:color w:val="1A7D44"/>
          <w:sz w:val="22"/>
        </w:rPr>
        <w:t>ТОВАРООБОРОТ И ЗАРАБОТОК ПАРТНЁРА ПО ГОДАМ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Год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Товарооборот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Наценка 35% (доход партнёра)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Комментарий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Год 1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60 млн ₽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21 млн ₽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4 ЭТП + ТП дистрибьютора, 300 SKU</w:t>
            </w:r>
          </w:p>
        </w:tc>
      </w:tr>
      <w:tr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Год 2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120 млн ₽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42 млн ₽</w:t>
            </w:r>
          </w:p>
        </w:tc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Расширение АКБ до 800+ РТТ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Год 3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312 млн ₽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109 млн ₽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Полное покрытие 8% потенциала</w:t>
            </w:r>
          </w:p>
        </w:tc>
      </w:tr>
      <w:tr>
        <w:tc>
          <w:tcPr>
            <w:tcW w:type="dxa" w:w="255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8"/>
              </w:rPr>
              <w:t>ИТОГО</w:t>
            </w:r>
          </w:p>
        </w:tc>
        <w:tc>
          <w:tcPr>
            <w:tcW w:type="dxa" w:w="255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8"/>
              </w:rPr>
              <w:t>492 млн ₽</w:t>
            </w:r>
          </w:p>
        </w:tc>
        <w:tc>
          <w:tcPr>
            <w:tcW w:type="dxa" w:w="255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8"/>
              </w:rPr>
              <w:t>172 млн ₽</w:t>
            </w:r>
          </w:p>
        </w:tc>
        <w:tc>
          <w:tcPr>
            <w:tcW w:type="dxa" w:w="255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8"/>
              </w:rPr>
              <w:t>За 3 года</w:t>
            </w:r>
          </w:p>
        </w:tc>
      </w:tr>
    </w:tbl>
    <w:p>
      <w:r>
        <w:rPr>
          <w:rFonts w:ascii="Inter" w:hAnsi="Inter"/>
          <w:b/>
          <w:color w:val="1A7D44"/>
          <w:sz w:val="18"/>
        </w:rPr>
        <w:t>Цель: 312 млн ₽ товарооборота в Год 3 = 8% потенциала региона. Заработок партнёра: 109 млн ₽/год при наценке 35%.</w:t>
      </w:r>
    </w:p>
    <w:p>
      <w:pPr>
        <w:jc w:val="center"/>
      </w:pPr>
      <w:r>
        <w:rPr>
          <w:color w:val="8A95A3"/>
          <w:sz w:val="16"/>
        </w:rPr>
        <w:t>————————————————————————————————————————————————————————————</w:t>
      </w:r>
    </w:p>
    <w:p>
      <w:r>
        <w:rPr>
          <w:rFonts w:ascii="Inter" w:hAnsi="Inter"/>
          <w:b/>
          <w:color w:val="8A95A3"/>
          <w:sz w:val="18"/>
        </w:rPr>
        <w:t>↓ ДЕТАЛИЗАЦИЯ РАСЧЁТА ↓</w:t>
      </w:r>
    </w:p>
    <w:p>
      <w:r>
        <w:rPr>
          <w:rFonts w:ascii="Inter" w:hAnsi="Inter"/>
          <w:b/>
          <w:color w:val="C00000"/>
          <w:sz w:val="22"/>
        </w:rPr>
        <w:t>1. ПОТЕНЦИАЛ РЕГИОНА — НАСЕЛЕНИЕ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Регион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Население (чел.)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Ключевые города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Города (чел.)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Новосибирская область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2 786 500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Новосибирск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1 633 000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Кемеровская область</w:t>
            </w:r>
          </w:p>
        </w:tc>
        <w:tc>
          <w:tcPr>
            <w:tcW w:type="dxa" w:w="2550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2 527 200</w:t>
            </w:r>
          </w:p>
        </w:tc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Кемерово</w:t>
            </w:r>
          </w:p>
        </w:tc>
        <w:tc>
          <w:tcPr>
            <w:tcW w:type="dxa" w:w="2550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560 000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Алтайский край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2 099 200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Барнаул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640 000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Томская область</w:t>
            </w:r>
          </w:p>
        </w:tc>
        <w:tc>
          <w:tcPr>
            <w:tcW w:type="dxa" w:w="2550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1 075 000</w:t>
            </w:r>
          </w:p>
        </w:tc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Томск</w:t>
            </w:r>
          </w:p>
        </w:tc>
        <w:tc>
          <w:tcPr>
            <w:tcW w:type="dxa" w:w="2550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578 000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Республика Алтай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210 100</w:t>
            </w:r>
          </w:p>
        </w:tc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Горно-Алтайск</w:t>
            </w:r>
          </w:p>
        </w:tc>
        <w:tc>
          <w:tcPr>
            <w:tcW w:type="dxa" w:w="2550"/>
            <w:shd w:fill="F5F2EC" w:val="clear"/>
          </w:tcPr>
          <w:p>
            <w:pPr>
              <w:jc w:val="righ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64 000</w:t>
            </w:r>
          </w:p>
        </w:tc>
      </w:tr>
      <w:tr>
        <w:tc>
          <w:tcPr>
            <w:tcW w:type="dxa" w:w="2550"/>
            <w:shd w:fill="E8E3D9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6"/>
              </w:rPr>
              <w:t>ИТОГО</w:t>
            </w:r>
          </w:p>
        </w:tc>
        <w:tc>
          <w:tcPr>
            <w:tcW w:type="dxa" w:w="2550"/>
            <w:shd w:fill="E8E3D9" w:val="clear"/>
          </w:tcPr>
          <w:p>
            <w:pPr>
              <w:jc w:val="right"/>
            </w:pPr>
            <w:r/>
            <w:r>
              <w:rPr>
                <w:rFonts w:ascii="Inter" w:hAnsi="Inter"/>
                <w:b/>
                <w:color w:val="2F3A48"/>
                <w:sz w:val="16"/>
              </w:rPr>
              <w:t>8 698 000</w:t>
            </w:r>
          </w:p>
        </w:tc>
        <w:tc>
          <w:tcPr>
            <w:tcW w:type="dxa" w:w="2550"/>
            <w:shd w:fill="E8E3D9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6"/>
              </w:rPr>
              <w:t>5 городов</w:t>
            </w:r>
          </w:p>
        </w:tc>
        <w:tc>
          <w:tcPr>
            <w:tcW w:type="dxa" w:w="2550"/>
            <w:shd w:fill="E8E3D9" w:val="clear"/>
          </w:tcPr>
          <w:p>
            <w:pPr>
              <w:jc w:val="right"/>
            </w:pPr>
            <w:r/>
            <w:r>
              <w:rPr>
                <w:rFonts w:ascii="Inter" w:hAnsi="Inter"/>
                <w:b/>
                <w:color w:val="2F3A48"/>
                <w:sz w:val="16"/>
              </w:rPr>
              <w:t>3 475 000</w:t>
            </w:r>
          </w:p>
        </w:tc>
      </w:tr>
    </w:tbl>
    <w:p>
      <w:r>
        <w:rPr>
          <w:rFonts w:ascii="Inter" w:hAnsi="Inter"/>
          <w:b/>
          <w:color w:val="2F3A48"/>
          <w:sz w:val="18"/>
        </w:rPr>
        <w:t>База расчёта: городское население — 3 475 000 чел. (концентрация спроса на ЛКМ)</w:t>
      </w:r>
    </w:p>
    <w:p>
      <w:r>
        <w:rPr>
          <w:rFonts w:ascii="Inter" w:hAnsi="Inter"/>
          <w:b/>
          <w:color w:val="C00000"/>
          <w:sz w:val="22"/>
        </w:rPr>
        <w:t>2. ПОТЕНЦИАЛ РЫНКА ЛКМ (по городскому населению)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Параметр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В рублях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В тоннах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Потребление ЛКМ на душу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~1123 ₽/чел.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~14.59 кг/чел.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Расчёт</w:t>
            </w:r>
          </w:p>
        </w:tc>
        <w:tc>
          <w:tcPr>
            <w:tcW w:type="dxa" w:w="340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3 475 000 × 1123 ₽</w:t>
            </w:r>
          </w:p>
        </w:tc>
        <w:tc>
          <w:tcPr>
            <w:tcW w:type="dxa" w:w="340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3 475 000 × 14.59 кг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Средняя цена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~77 000 ₽/т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—</w:t>
            </w:r>
          </w:p>
        </w:tc>
      </w:tr>
      <w:tr>
        <w:tc>
          <w:tcPr>
            <w:tcW w:type="dxa" w:w="34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ПОТЕНЦИАЛ РЫНКА ЛКМ</w:t>
            </w:r>
          </w:p>
        </w:tc>
        <w:tc>
          <w:tcPr>
            <w:tcW w:type="dxa" w:w="340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3.3 млрд ₽</w:t>
            </w:r>
          </w:p>
        </w:tc>
        <w:tc>
          <w:tcPr>
            <w:tcW w:type="dxa" w:w="340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50 700 т</w:t>
            </w:r>
          </w:p>
        </w:tc>
      </w:tr>
    </w:tbl>
    <w:p>
      <w:r>
        <w:rPr>
          <w:rFonts w:ascii="Inter" w:hAnsi="Inter"/>
          <w:b/>
          <w:color w:val="C00000"/>
          <w:sz w:val="22"/>
        </w:rPr>
        <w:t>3. ТЕКУЩИЙ РЫНОК — ФАКТИЧЕСКИЕ ДИСТРИБЬЮТОРЫ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Дистрибьютор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Портфель конкурентов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Территория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Сибхозторг/Стройторг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Рогнеда, Кушнаренко, Декарт, ЭСКАРО, НБХ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Новосиб. обл., Алт. край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ООО «Олимп»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АВС Фарбен, Радуга, НБХ, ЭСКАРО, ДЕКАРТ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Алт. край, Новосиб., Кемерово, Томск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ООО «АЛЬТЕРРА»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Лакра, Рогнеда, Мефферт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Новосиб. обл., Алт. край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Стройпарк 1ГМ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Тиккурила, Рогнеда, Декарт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г. Томск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ООО «Нисса»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Лакра, Континенталь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Алтайский край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ООО «Колорлон»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Рогнеда, Лакра, Декарт, Мефферт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Новосиб. обл.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ООО «АНА»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Тиккурила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Омская обл.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ИП Шишков С.В.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ТД Радуга, АВС Фарбен, Рогнеда, ВИТ, НБХ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Омская обл.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ИП Миронкин Е.В.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Лакра</w:t>
            </w:r>
          </w:p>
        </w:tc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Омская обл.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5"/>
              </w:rPr>
              <w:t>ИП Ковалев А.А.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Кушнаренко, Новый Дом</w:t>
            </w:r>
          </w:p>
        </w:tc>
        <w:tc>
          <w:tcPr>
            <w:tcW w:type="dxa" w:w="34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5"/>
              </w:rPr>
              <w:t>Омская обл.</w:t>
            </w:r>
          </w:p>
        </w:tc>
      </w:tr>
      <w:tr>
        <w:tc>
          <w:tcPr>
            <w:tcW w:type="dxa" w:w="34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6"/>
              </w:rPr>
              <w:t>ИТОГО (10 дистрибьюторов)</w:t>
            </w:r>
          </w:p>
        </w:tc>
        <w:tc>
          <w:tcPr>
            <w:tcW w:type="dxa" w:w="34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Совокупный ТО: 1.1 млрд ₽</w:t>
            </w:r>
          </w:p>
        </w:tc>
        <w:tc>
          <w:tcPr>
            <w:tcW w:type="dxa" w:w="34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~14 286 т</w:t>
            </w:r>
          </w:p>
        </w:tc>
      </w:tr>
    </w:tbl>
    <w:p>
      <w:r>
        <w:rPr>
          <w:rFonts w:ascii="Inter" w:hAnsi="Inter"/>
          <w:b/>
          <w:color w:val="C00000"/>
          <w:sz w:val="20"/>
        </w:rPr>
        <w:t>НЕДОЗАГРУЗКА РЕГИОНА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Млрд ₽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Тонн</w:t>
            </w:r>
          </w:p>
        </w:tc>
        <w:tc>
          <w:tcPr>
            <w:tcW w:type="dxa" w:w="255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Доля</w:t>
            </w:r>
          </w:p>
        </w:tc>
      </w:tr>
      <w:tr>
        <w:tc>
          <w:tcPr>
            <w:tcW w:type="dxa" w:w="255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Теоретический потенциал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3.3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50 700</w:t>
            </w:r>
          </w:p>
        </w:tc>
        <w:tc>
          <w:tcPr>
            <w:tcW w:type="dxa" w:w="255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100%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Фактический ТО дистрибьюторов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1.1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14 286</w:t>
            </w:r>
          </w:p>
        </w:tc>
        <w:tc>
          <w:tcPr>
            <w:tcW w:type="dxa" w:w="255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33%</w:t>
            </w:r>
          </w:p>
        </w:tc>
      </w:tr>
      <w:tr>
        <w:tc>
          <w:tcPr>
            <w:tcW w:type="dxa" w:w="2550"/>
            <w:shd w:fill="FFE0E0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НЕДОЗАГРУЗКА</w:t>
            </w:r>
          </w:p>
        </w:tc>
        <w:tc>
          <w:tcPr>
            <w:tcW w:type="dxa" w:w="2550"/>
            <w:shd w:fill="FFE0E0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2.7</w:t>
            </w:r>
          </w:p>
        </w:tc>
        <w:tc>
          <w:tcPr>
            <w:tcW w:type="dxa" w:w="2550"/>
            <w:shd w:fill="FFE0E0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36 415</w:t>
            </w:r>
          </w:p>
        </w:tc>
        <w:tc>
          <w:tcPr>
            <w:tcW w:type="dxa" w:w="2550"/>
            <w:shd w:fill="FFE0E0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67%</w:t>
            </w:r>
          </w:p>
        </w:tc>
      </w:tr>
    </w:tbl>
    <w:p>
      <w:r>
        <w:rPr>
          <w:rFonts w:ascii="Inter" w:hAnsi="Inter"/>
          <w:b/>
          <w:color w:val="C00000"/>
          <w:sz w:val="18"/>
        </w:rPr>
        <w:t>⚠ Регион недозагружен на 67% — потенциал 2.7 млрд ₽ (36 415 т) не освоен</w:t>
      </w:r>
    </w:p>
    <w:p>
      <w:r>
        <w:rPr>
          <w:rFonts w:ascii="Inter" w:hAnsi="Inter"/>
          <w:b/>
          <w:color w:val="C00000"/>
          <w:sz w:val="22"/>
        </w:rPr>
        <w:t>4. ДОЛЯ ЭМПИЛС — 8% РЫНКА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В рублях</w:t>
            </w:r>
          </w:p>
        </w:tc>
        <w:tc>
          <w:tcPr>
            <w:tcW w:type="dxa" w:w="34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6"/>
              </w:rPr>
              <w:t>В тоннах</w:t>
            </w:r>
          </w:p>
        </w:tc>
      </w:tr>
      <w:tr>
        <w:tc>
          <w:tcPr>
            <w:tcW w:type="dxa" w:w="34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Потенциал рынка (100%)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3.3 млрд ₽</w:t>
            </w:r>
          </w:p>
        </w:tc>
        <w:tc>
          <w:tcPr>
            <w:tcW w:type="dxa" w:w="34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6"/>
              </w:rPr>
              <w:t>50 700 т</w:t>
            </w:r>
          </w:p>
        </w:tc>
      </w:tr>
      <w:tr>
        <w:tc>
          <w:tcPr>
            <w:tcW w:type="dxa" w:w="34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Доля Эмпилс (8%)</w:t>
            </w:r>
          </w:p>
        </w:tc>
        <w:tc>
          <w:tcPr>
            <w:tcW w:type="dxa" w:w="340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312 млн ₽</w:t>
            </w:r>
          </w:p>
        </w:tc>
        <w:tc>
          <w:tcPr>
            <w:tcW w:type="dxa" w:w="340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6"/>
              </w:rPr>
              <w:t>4 052 т</w:t>
            </w:r>
          </w:p>
        </w:tc>
      </w:tr>
    </w:tbl>
    <w:p>
      <w:r>
        <w:rPr>
          <w:rFonts w:ascii="Inter" w:hAnsi="Inter"/>
          <w:b/>
          <w:color w:val="1A7D44"/>
          <w:sz w:val="18"/>
        </w:rPr>
        <w:t>312 млн ₽ — целевой товарооборот Эмпилс, достигаемый за 3 года. Покрытие АКБ: 1200 РТТ.</w:t>
      </w:r>
    </w:p>
    <w:p>
      <w:r>
        <w:rPr>
          <w:rFonts w:ascii="Inter" w:hAnsi="Inter"/>
          <w:b/>
          <w:color w:val="C00000"/>
          <w:sz w:val="22"/>
        </w:rPr>
        <w:t>5. ОРГАНИЗАЦИЯ ПРОДАЖ — ЭКСКЛЮЗИВНЫЕ ТП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2F3A48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5100"/>
            <w:shd w:fill="2F3A48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1 ЭТП покрывает</w:t>
            </w:r>
          </w:p>
        </w:tc>
        <w:tc>
          <w:tcPr>
            <w:tcW w:type="dxa" w:w="510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120 РТТ</w:t>
            </w:r>
          </w:p>
        </w:tc>
      </w:tr>
      <w:tr>
        <w:tc>
          <w:tcPr>
            <w:tcW w:type="dxa" w:w="51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4 ЭТП покрывают</w:t>
            </w:r>
          </w:p>
        </w:tc>
        <w:tc>
          <w:tcPr>
            <w:tcW w:type="dxa" w:w="51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480 РТТ</w:t>
            </w:r>
          </w:p>
        </w:tc>
      </w:tr>
      <w:tr>
        <w:tc>
          <w:tcPr>
            <w:tcW w:type="dxa" w:w="5100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Товарооборот через ЭТП</w:t>
            </w:r>
          </w:p>
        </w:tc>
        <w:tc>
          <w:tcPr>
            <w:tcW w:type="dxa" w:w="5100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40 млн ₽/год</w:t>
            </w:r>
          </w:p>
        </w:tc>
      </w:tr>
      <w:tr>
        <w:tc>
          <w:tcPr>
            <w:tcW w:type="dxa" w:w="5100"/>
            <w:shd w:fill="F5F2EC" w:val="clear"/>
          </w:tcPr>
          <w:p>
            <w:pPr>
              <w:jc w:val="left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Товарооборот через ТП дистрибьютора</w:t>
            </w:r>
          </w:p>
        </w:tc>
        <w:tc>
          <w:tcPr>
            <w:tcW w:type="dxa" w:w="5100"/>
            <w:shd w:fill="F5F2EC" w:val="clear"/>
          </w:tcPr>
          <w:p>
            <w:pPr>
              <w:jc w:val="center"/>
            </w:pPr>
            <w:r/>
            <w:r>
              <w:rPr>
                <w:rFonts w:ascii="Inter" w:hAnsi="Inter"/>
                <w:b w:val="0"/>
                <w:color w:val="2F3A48"/>
                <w:sz w:val="18"/>
              </w:rPr>
              <w:t>20 млн ₽/год</w:t>
            </w:r>
          </w:p>
        </w:tc>
      </w:tr>
      <w:tr>
        <w:tc>
          <w:tcPr>
            <w:tcW w:type="dxa" w:w="5100"/>
            <w:shd w:fill="FFF5E6" w:val="clear"/>
          </w:tcPr>
          <w:p>
            <w:pPr>
              <w:jc w:val="left"/>
            </w:pPr>
            <w:r/>
            <w:r>
              <w:rPr>
                <w:rFonts w:ascii="Inter" w:hAnsi="Inter"/>
                <w:b/>
                <w:color w:val="2F3A48"/>
                <w:sz w:val="18"/>
              </w:rPr>
              <w:t>ИТОГО год 1</w:t>
            </w:r>
          </w:p>
        </w:tc>
        <w:tc>
          <w:tcPr>
            <w:tcW w:type="dxa" w:w="5100"/>
            <w:shd w:fill="FFF5E6" w:val="clear"/>
          </w:tcPr>
          <w:p>
            <w:pPr>
              <w:jc w:val="center"/>
            </w:pPr>
            <w:r/>
            <w:r>
              <w:rPr>
                <w:rFonts w:ascii="Inter" w:hAnsi="Inter"/>
                <w:b/>
                <w:color w:val="C00000"/>
                <w:sz w:val="18"/>
              </w:rPr>
              <w:t>60 млн ₽</w:t>
            </w:r>
          </w:p>
        </w:tc>
      </w:tr>
    </w:tbl>
    <w:p>
      <w:r>
        <w:rPr>
          <w:rFonts w:ascii="Inter" w:hAnsi="Inter"/>
          <w:b/>
          <w:color w:val="C00000"/>
          <w:sz w:val="22"/>
        </w:rPr>
        <w:t>6. АССОРТИМЕНТ НАЧАЛА ВЗАИМОДЕЙСТВИЯ</w:t>
      </w:r>
    </w:p>
    <w:p>
      <w:r>
        <w:rPr>
          <w:rFonts w:ascii="Inter" w:hAnsi="Inter"/>
          <w:b/>
          <w:color w:val="2F3A48"/>
          <w:sz w:val="18"/>
        </w:rPr>
        <w:t>Стартовый ассортимент: 300 SKU из портфеля Эмпилс</w:t>
      </w:r>
    </w:p>
    <w:p>
      <w:r>
        <w:rPr>
          <w:rFonts w:ascii="Inter" w:hAnsi="Inter"/>
          <w:b w:val="0"/>
          <w:color w:val="2F3A48"/>
          <w:sz w:val="18"/>
        </w:rPr>
        <w:t>Бренды: ОРЕОЛ · ОРЕОЛ ДИСКОНТ · NEWTONE · AVANTGARDE · TITAN · PROFIWOOD</w:t>
      </w:r>
    </w:p>
    <w:p>
      <w:r>
        <w:rPr>
          <w:rFonts w:ascii="Inter" w:hAnsi="Inter"/>
          <w:b w:val="0"/>
          <w:color w:val="2F3A48"/>
          <w:sz w:val="18"/>
        </w:rPr>
        <w:t>Категории: краски интерьерные · фасадные · эмали · грунт-эмали · грунтовки · шпатлёвки · клеи</w:t>
      </w:r>
    </w:p>
    <w:p>
      <w:pPr>
        <w:jc w:val="center"/>
      </w:pPr>
      <w:r>
        <w:rPr>
          <w:color w:val="8A95A3"/>
          <w:sz w:val="16"/>
        </w:rPr>
        <w:t>————————————————————————————————————————————————————————————</w:t>
      </w:r>
    </w:p>
    <w:p>
      <w:r>
        <w:rPr>
          <w:rFonts w:ascii="Inter" w:hAnsi="Inter"/>
          <w:b/>
          <w:color w:val="8A95A3"/>
          <w:sz w:val="20"/>
        </w:rPr>
        <w:t>ЛОГИЧЕСКАЯ ЦЕПОЧКА</w:t>
      </w:r>
    </w:p>
    <w:p>
      <w:pPr>
        <w:jc w:val="center"/>
      </w:pPr>
      <w:r>
        <w:rPr>
          <w:rFonts w:ascii="Inter" w:hAnsi="Inter"/>
          <w:b/>
          <w:i/>
          <w:color w:val="C9A77C"/>
          <w:sz w:val="16"/>
        </w:rPr>
        <w:t>Города 3.5 млн → рынок 3.3 млрд ₽ → фактически 1.1 млрд → недозагрузка 2.7 млрд (67%) → Эмпилс 8% = 312 млн ₽ → Г1: 60M (21M доход) → Г2: 120M (42M) → Г3: 312M (109M)</w:t>
      </w:r>
    </w:p>
    <w:sectPr w:rsidR="00FC693F" w:rsidRPr="0006063C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