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18"/>
        </w:rPr>
        <w:t>Партнёр: Олимп · Новосибирская, Томская, Кемеровская обл., Алтайский край, Республика Алтай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6B8FA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ПОТЕНЦИАЛ РЫНКА</w:t>
            </w:r>
          </w:p>
        </w:tc>
        <w:tc>
          <w:tcPr>
            <w:tcW w:type="dxa" w:w="2550"/>
            <w:shd w:fill="C9A77C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ФАКТИЧЕСКИЙ ТО</w:t>
            </w:r>
          </w:p>
        </w:tc>
        <w:tc>
          <w:tcPr>
            <w:tcW w:type="dxa" w:w="2550"/>
            <w:shd w:fill="C0000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НЕДОЗАГРУЗКА</w:t>
            </w:r>
          </w:p>
        </w:tc>
        <w:tc>
          <w:tcPr>
            <w:tcW w:type="dxa" w:w="2550"/>
            <w:shd w:fill="2ECC71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ДОЛЯ ЭМПИЛС 8%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6B8FA8"/>
                <w:sz w:val="28"/>
              </w:rPr>
              <w:t>3.3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50 700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9A77C"/>
                <w:sz w:val="28"/>
              </w:rPr>
              <w:t>1.1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14 286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00000"/>
                <w:sz w:val="28"/>
              </w:rPr>
              <w:t>2.7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67% рынка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1A7D44"/>
                <w:sz w:val="28"/>
              </w:rPr>
              <w:t>312 млн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цель на 3 года</w:t>
            </w:r>
          </w:p>
        </w:tc>
      </w:tr>
    </w:tbl>
    <w:p/>
    <w:p>
      <w:r>
        <w:rPr>
          <w:rFonts w:ascii="Inter" w:hAnsi="Inter"/>
          <w:b/>
          <w:color w:val="1A7D44"/>
          <w:sz w:val="22"/>
        </w:rPr>
        <w:t>ТОВАРООБОРОТ И ЗАРАБОТОК ПАРТНЁРА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Наценка 35% (доход партнёра)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21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42 млн ₽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109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492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172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За 3 года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Цель: 312 млн ₽ товарооборота в Год 3 = 8% потенциала региона. Заработок партнёра: 109 млн ₽/год при наценке 35%.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18"/>
        </w:rPr>
        <w:t>↓ ДЕТАЛИЗАЦИЯ РАСЧЁТА ↓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Новосибирская область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2 786 500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1 633 000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2 527 200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Кемерово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560 000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Алтайский край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2 099 200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Барнаул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640 000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1 075 000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578 000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Республика Алтай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210 100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Горно-Алтайск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64 000</w:t>
            </w:r>
          </w:p>
        </w:tc>
      </w:tr>
      <w:tr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5 городов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3 475 000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База расчёта: городское население — 3 475 000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(по городскому населению)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Потребление ЛКМ на душу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~1123 ₽/чел.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~14.59 кг/чел.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Расчёт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1123 ₽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14.59 кг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Средняя цена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~77 000 ₽/т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—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3.3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50 700 т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3. ТЕКУЩИЙ РЫНОК — ФАКТИЧЕСКИЕ ДИСТРИБЬЮТОРЫ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Кушнаренко, Декарт, ЭСКАРО, НБХ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АВС Фарбен, Радуга, НБХ, ЭСКАРО,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Алт. край, Новосиб., Кемерово,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«АЛЬТЕРРА»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Рогнеда, Мефферт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г.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Континенталь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«Колорлон»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«АНА»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Шишков С.В.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ТД Радуга, АВС Фарбен, Рогнеда, ВИТ, НБХ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Миронкин Е.В.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Ковалев А.А.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Кушнаренко, Новый Дом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 (10 дистрибьюторов)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Совокупный ТО: 1.1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~14 286 т</w:t>
            </w:r>
          </w:p>
        </w:tc>
      </w:tr>
    </w:tbl>
    <w:p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Млрд 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Тонн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Доля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Теоретический потенциал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100%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1.1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14 286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33%</w:t>
            </w:r>
          </w:p>
        </w:tc>
      </w:tr>
      <w:tr>
        <w:tc>
          <w:tcPr>
            <w:tcW w:type="dxa" w:w="2550"/>
            <w:shd w:fill="FFE0E0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НЕДОЗАГРУЗКА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2.7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36 415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67%</w:t>
            </w:r>
          </w:p>
        </w:tc>
      </w:tr>
    </w:tbl>
    <w:p>
      <w:r>
        <w:rPr>
          <w:rFonts w:ascii="Inter" w:hAnsi="Inter"/>
          <w:b/>
          <w:color w:val="C00000"/>
          <w:sz w:val="18"/>
        </w:rPr>
        <w:t>⚠ Регион недозагружен на 67% — потенциал 2.7 млрд ₽ не освоен</w:t>
      </w:r>
    </w:p>
    <w:p>
      <w:r>
        <w:rPr>
          <w:rFonts w:ascii="Inter" w:hAnsi="Inter"/>
          <w:b/>
          <w:color w:val="C00000"/>
          <w:sz w:val="22"/>
        </w:rPr>
        <w:t>4. ДОЛЯ ЭМПИЛС — 8% РЫНКА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Потенциал рынка (100%)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 млрд ₽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 т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312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4 052 т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312 млн ₽ — целевой товарооборот Эмпилс, достигаемый за 3 года. Покрытие АКБ: 1200 РТТ.</w:t>
      </w:r>
    </w:p>
    <w:p>
      <w:r>
        <w:rPr>
          <w:rFonts w:ascii="Inter" w:hAnsi="Inter"/>
          <w:b/>
          <w:color w:val="2F3A48"/>
          <w:sz w:val="20"/>
        </w:rPr>
        <w:t>4.1. ЦЕНООБРАЗОВАНИЕ — НАЦЕНКИ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Цепочка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Наценка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Первичная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Завод → Дистрибьютор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35%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Базовая наценка дистрибьютора при закупке у Эмпилс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Вторичная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Дистрибьютор → РТТ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50%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Наценка при продаже в розничную торговую точку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Завод → РТТ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~117%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Совокупная наценка от заводской цены до цены на полке</w:t>
            </w:r>
          </w:p>
        </w:tc>
      </w:tr>
    </w:tbl>
    <w:p>
      <w:r>
        <w:rPr>
          <w:rFonts w:ascii="Inter" w:hAnsi="Inter"/>
          <w:b w:val="0"/>
          <w:color w:val="8A95A3"/>
          <w:sz w:val="16"/>
        </w:rPr>
        <w:t>Пример: при заводской цене 100 ₽ → дистрибьютор продаёт в РТТ по 135 ₽ → РТТ продаёт потребителю по ~202 ₽.</w:t>
      </w:r>
    </w:p>
    <w:p>
      <w:r>
        <w:rPr>
          <w:rFonts w:ascii="Inter" w:hAnsi="Inter"/>
          <w:b/>
          <w:color w:val="C00000"/>
          <w:sz w:val="22"/>
        </w:rPr>
        <w:t>5.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51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 ЭТП покрывает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РТТ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покрывают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480 РТТ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ЭТП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40 млн ₽/год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20 млн ₽/год</w:t>
            </w:r>
          </w:p>
        </w:tc>
      </w:tr>
      <w:tr>
        <w:tc>
          <w:tcPr>
            <w:tcW w:type="dxa" w:w="51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type="dxa" w:w="51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—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×2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×5,2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7.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r>
        <w:rPr>
          <w:rFonts w:ascii="Inter" w:hAnsi="Inter"/>
          <w:b/>
          <w:color w:val="1A7D44"/>
          <w:sz w:val="22"/>
        </w:rPr>
        <w:t>8. ПОДДЕРЖКА МАРКЕТИНГА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Программа</w:t>
            </w:r>
          </w:p>
        </w:tc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мотивации общего прайса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Бонусы и ретро-отсрочки для ТП, продающих весь ассортимент Эмпилс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Мотивация сотрудников РТТ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поощрения продавцов торговых точек за рекомендации продукции Эмпилс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Продвижение фокусных банок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Целевое продвижение топ-SKU (TITAN, NEWTONE) с повышенной маржой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Гибкая отсрочка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Индивидуальные условия отсрочки платежа в зависимости от объёма закупки и истории сотрудничества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Команда ЭТП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4 эксклюзивных торговых представителя, обученных и мотивируемых Эмпилс</w:t>
            </w:r>
          </w:p>
        </w:tc>
      </w:tr>
    </w:tbl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