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Inter" w:hAnsi="Inter"/>
          <w:b/>
          <w:color w:val="2F3A48"/>
          <w:sz w:val="32"/>
        </w:rPr>
        <w:t>Коммерческое предложение ЗАО «Эмпилс»</w:t>
      </w:r>
    </w:p>
    <w:p>
      <w:pPr>
        <w:jc w:val="center"/>
      </w:pPr>
      <w:r>
        <w:rPr>
          <w:rFonts w:ascii="Inter" w:hAnsi="Inter"/>
          <w:i/>
          <w:color w:val="8A95A3"/>
          <w:sz w:val="18"/>
        </w:rPr>
        <w:t>Партнёр: Олимп · Новосибирская, Томская, Кемеровская обл., Алтайский край, Республика Алтай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6B8FA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ПОТЕНЦИАЛ РЫНКА</w:t>
            </w:r>
          </w:p>
        </w:tc>
        <w:tc>
          <w:tcPr>
            <w:tcW w:type="dxa" w:w="2550"/>
            <w:shd w:fill="C9A77C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ФАКТИЧЕСКИЙ ТО</w:t>
            </w:r>
          </w:p>
        </w:tc>
        <w:tc>
          <w:tcPr>
            <w:tcW w:type="dxa" w:w="2550"/>
            <w:shd w:fill="C0000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НЕДОЗАГРУЗКА</w:t>
            </w:r>
          </w:p>
        </w:tc>
        <w:tc>
          <w:tcPr>
            <w:tcW w:type="dxa" w:w="2550"/>
            <w:shd w:fill="2ECC71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ДОЛЯ ЭМПИЛС 8%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6B8FA8"/>
                <w:sz w:val="28"/>
              </w:rPr>
              <w:t>3.3 млрд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50 700 т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C9A77C"/>
                <w:sz w:val="28"/>
              </w:rPr>
              <w:t>1.1 млрд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14 286 т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C00000"/>
                <w:sz w:val="28"/>
              </w:rPr>
              <w:t>2.7 млрд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67% рынка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1A7D44"/>
                <w:sz w:val="28"/>
              </w:rPr>
              <w:t>312 млн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цель на 3 года</w:t>
            </w:r>
          </w:p>
        </w:tc>
      </w:tr>
    </w:tbl>
    <w:p/>
    <w:p>
      <w:r>
        <w:rPr>
          <w:rFonts w:ascii="Inter" w:hAnsi="Inter"/>
          <w:b/>
          <w:color w:val="1A7D44"/>
          <w:sz w:val="22"/>
        </w:rPr>
        <w:t>ТОВАРООБОРОТ И ЗАРАБОТОК ПАРТНЁРА ПО ГОДАМ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Год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Товарооборот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Наценка 35% (доход партнёра)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1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60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21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 ЭТП + ТП дистрибьютора, 300 SKU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2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120 млн ₽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42 млн ₽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Расширение АКБ до 800+ РТТ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3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312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109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Полное покрытие 8% потенциала</w:t>
            </w:r>
          </w:p>
        </w:tc>
      </w:tr>
      <w:tr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ИТОГО</w:t>
            </w:r>
          </w:p>
        </w:tc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492 млн ₽</w:t>
            </w:r>
          </w:p>
        </w:tc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172 млн ₽</w:t>
            </w:r>
          </w:p>
        </w:tc>
        <w:tc>
          <w:tcPr>
            <w:tcW w:type="dxa" w:w="255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За 3 года</w:t>
            </w:r>
          </w:p>
        </w:tc>
      </w:tr>
    </w:tbl>
    <w:p>
      <w:r>
        <w:rPr>
          <w:rFonts w:ascii="Inter" w:hAnsi="Inter"/>
          <w:b/>
          <w:color w:val="1A7D44"/>
          <w:sz w:val="18"/>
        </w:rPr>
        <w:t>Цель: 312 млн ₽ товарооборота в Год 3 = 8% потенциала региона. Заработок партнёра: 109 млн ₽/год при наценке 35%.</w:t>
      </w:r>
    </w:p>
    <w:p>
      <w:pPr>
        <w:jc w:val="center"/>
      </w:pPr>
      <w:r>
        <w:rPr>
          <w:color w:val="8A95A3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>
      <w:r>
        <w:rPr>
          <w:rFonts w:ascii="Inter" w:hAnsi="Inter"/>
          <w:b/>
          <w:color w:val="8A95A3"/>
          <w:sz w:val="18"/>
        </w:rPr>
        <w:t>↓ ДЕТАЛИЗАЦИЯ РАСЧЁТА ↓</w:t>
      </w:r>
    </w:p>
    <w:p>
      <w:r>
        <w:rPr>
          <w:rFonts w:ascii="Inter" w:hAnsi="Inter"/>
          <w:b/>
          <w:color w:val="C00000"/>
          <w:sz w:val="22"/>
        </w:rPr>
        <w:t>1. ПОТЕНЦИАЛ РЕГИОНА — НАСЕЛЕНИЕ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Регион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Население (чел.)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Ключевые города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Города (чел.)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Новосибирская область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2 786 500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Новосибирск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1 633 000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Кемеровская область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2 527 200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Кемерово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560 000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Алтайский край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2 099 200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Барнаул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640 000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Томская область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1 075 000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Томск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578 000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Республика Алтай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210 100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Горно-Алтайск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64 000</w:t>
            </w:r>
          </w:p>
        </w:tc>
      </w:tr>
      <w:tr>
        <w:tc>
          <w:tcPr>
            <w:tcW w:type="dxa" w:w="2550"/>
            <w:shd w:fill="E8E3D9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ИТОГО</w:t>
            </w:r>
          </w:p>
        </w:tc>
        <w:tc>
          <w:tcPr>
            <w:tcW w:type="dxa" w:w="2550"/>
            <w:shd w:fill="E8E3D9" w:val="clear"/>
          </w:tcPr>
          <w:p>
            <w:pPr>
              <w:jc w:val="righ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8 698 000</w:t>
            </w:r>
          </w:p>
        </w:tc>
        <w:tc>
          <w:tcPr>
            <w:tcW w:type="dxa" w:w="2550"/>
            <w:shd w:fill="E8E3D9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5 городов</w:t>
            </w:r>
          </w:p>
        </w:tc>
        <w:tc>
          <w:tcPr>
            <w:tcW w:type="dxa" w:w="2550"/>
            <w:shd w:fill="E8E3D9" w:val="clear"/>
          </w:tcPr>
          <w:p>
            <w:pPr>
              <w:jc w:val="righ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3 475 000</w:t>
            </w:r>
          </w:p>
        </w:tc>
      </w:tr>
    </w:tbl>
    <w:p>
      <w:r>
        <w:rPr>
          <w:rFonts w:ascii="Inter" w:hAnsi="Inter"/>
          <w:b/>
          <w:color w:val="2F3A48"/>
          <w:sz w:val="18"/>
        </w:rPr>
        <w:t>База расчёта: городское население — 3 475 000 чел.</w:t>
      </w:r>
    </w:p>
    <w:p>
      <w:r>
        <w:rPr>
          <w:rFonts w:ascii="Inter" w:hAnsi="Inter"/>
          <w:b/>
          <w:color w:val="C00000"/>
          <w:sz w:val="22"/>
        </w:rPr>
        <w:t>2. ПОТЕНЦИАЛ РЫНКА ЛКМ (по городскому населению)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Параметр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рублях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тоннах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Потребление ЛКМ на душу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~1123 ₽/чел.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~14.59 кг/чел.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Расчёт</w:t>
            </w:r>
          </w:p>
        </w:tc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3 475 000 × 1123 ₽</w:t>
            </w:r>
          </w:p>
        </w:tc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3 475 000 × 14.59 кг</w:t>
            </w:r>
          </w:p>
        </w:tc>
      </w:tr>
      <w:tr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ПОТЕНЦИАЛ РЫНКА ЛКМ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3.3 млрд ₽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50 700 т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3. ТЕКУЩИЙ РЫНОК — ФАКТИЧЕСКИЕ ДИСТРИБЬЮТОРЫ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Дистрибьютор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Портфель конкурентов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Территория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Сибхозторг/Стройторг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Рогнеда, Кушнаренко, Декарт, ЭСКАРО, НБХ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Новосиб. обл., Алт. край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«Олимп»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АВС Фарбен, Радуга, НБХ, ЭСКАРО, ДЕКАРТ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Алт. край, Новосиб., Кемерово, Томск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«АЛЬТЕРРА»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Лакра, Рогнеда, Мефферт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Новосиб. обл., Алт. край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Стройпарк 1ГМ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Тиккурила, Рогнеда, Декарт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г. Томск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«Нисса»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Лакра, Континенталь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Алтайский край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«Колорлон»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Рогнеда, Лакра, Декарт, Мефферт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Новосиб. обл.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«АНА»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Тиккурила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ИП Шишков С.В.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ТД Радуга, АВС Фарбен, Рогнеда, ВИТ, НБХ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ИП Миронкин Е.В.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Лакра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ИП Ковалев А.А.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Кушнаренко, Новый Дом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ИТОГО (10 дистрибьюторов)</w:t>
            </w:r>
          </w:p>
        </w:tc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Совокупный ТО: 1.1 млрд ₽</w:t>
            </w:r>
          </w:p>
        </w:tc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~14 286 т</w:t>
            </w:r>
          </w:p>
        </w:tc>
      </w:tr>
    </w:tbl>
    <w:p>
      <w:r>
        <w:rPr>
          <w:rFonts w:ascii="Inter" w:hAnsi="Inter"/>
          <w:b/>
          <w:color w:val="C00000"/>
          <w:sz w:val="20"/>
        </w:rPr>
        <w:t>НЕДОЗАГРУЗКА РЕГИОНА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Млрд ₽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Тонн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Доля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Теоретический потенциал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3.3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50 700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100%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Фактический ТО дистрибьюторов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1.1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14 286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33%</w:t>
            </w:r>
          </w:p>
        </w:tc>
      </w:tr>
      <w:tr>
        <w:tc>
          <w:tcPr>
            <w:tcW w:type="dxa" w:w="2550"/>
            <w:shd w:fill="FFE0E0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НЕДОЗАГРУЗКА</w:t>
            </w:r>
          </w:p>
        </w:tc>
        <w:tc>
          <w:tcPr>
            <w:tcW w:type="dxa" w:w="2550"/>
            <w:shd w:fill="FFE0E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2.7</w:t>
            </w:r>
          </w:p>
        </w:tc>
        <w:tc>
          <w:tcPr>
            <w:tcW w:type="dxa" w:w="2550"/>
            <w:shd w:fill="FFE0E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36 415</w:t>
            </w:r>
          </w:p>
        </w:tc>
        <w:tc>
          <w:tcPr>
            <w:tcW w:type="dxa" w:w="2550"/>
            <w:shd w:fill="FFE0E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67%</w:t>
            </w:r>
          </w:p>
        </w:tc>
      </w:tr>
    </w:tbl>
    <w:p>
      <w:r>
        <w:rPr>
          <w:rFonts w:ascii="Inter" w:hAnsi="Inter"/>
          <w:b/>
          <w:color w:val="C00000"/>
          <w:sz w:val="18"/>
        </w:rPr>
        <w:t>⚠ Регион недозагружен на 67% — потенциал 2.7 млрд ₽ не освоен</w:t>
      </w:r>
    </w:p>
    <w:p>
      <w:r>
        <w:rPr>
          <w:rFonts w:ascii="Inter" w:hAnsi="Inter"/>
          <w:b/>
          <w:color w:val="C00000"/>
          <w:sz w:val="22"/>
        </w:rPr>
        <w:t>4. ДОЛЯ ЭМПИЛС — 8% РЫНКА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рублях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тоннах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Потенциал рынка (100%)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3.3 млрд ₽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50 700 т</w:t>
            </w:r>
          </w:p>
        </w:tc>
      </w:tr>
      <w:tr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Доля Эмпилс (8%)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312 млн ₽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4 052 т</w:t>
            </w:r>
          </w:p>
        </w:tc>
      </w:tr>
    </w:tbl>
    <w:p>
      <w:r>
        <w:rPr>
          <w:rFonts w:ascii="Inter" w:hAnsi="Inter"/>
          <w:b/>
          <w:color w:val="1A7D44"/>
          <w:sz w:val="18"/>
        </w:rPr>
        <w:t>312 млн ₽ — целевой товарооборот Эмпилс, достигаемый за 3 года. Покрытие АКБ: 1200 РТТ.</w:t>
      </w:r>
    </w:p>
    <w:p>
      <w:r>
        <w:rPr>
          <w:rFonts w:ascii="Inter" w:hAnsi="Inter"/>
          <w:b/>
          <w:color w:val="2F3A48"/>
          <w:sz w:val="20"/>
        </w:rPr>
        <w:t>4.1. ЦЕНООБРАЗОВАНИЕ — НАЦЕНКИ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Уровень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Цепочка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Наценка</w:t>
            </w:r>
          </w:p>
        </w:tc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Описание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Первичная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Завод → Дистрибьютор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35%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Базовая наценка дистрибьютора при закупке у Эмпилс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Вторичная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Дистрибьютор → РТТ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50%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Наценка при продаже в розничную торговую точку</w:t>
            </w:r>
          </w:p>
        </w:tc>
      </w:tr>
      <w:tr>
        <w:tc>
          <w:tcPr>
            <w:tcW w:type="dxa" w:w="255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Итого</w:t>
            </w:r>
          </w:p>
        </w:tc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Завод → РТТ</w:t>
            </w:r>
          </w:p>
        </w:tc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~102%</w:t>
            </w:r>
          </w:p>
        </w:tc>
        <w:tc>
          <w:tcPr>
            <w:tcW w:type="dxa" w:w="255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Совокупная наценка от заводской цены до цены на полке</w:t>
            </w:r>
          </w:p>
        </w:tc>
      </w:tr>
    </w:tbl>
    <w:p>
      <w:r>
        <w:rPr>
          <w:rFonts w:ascii="Inter" w:hAnsi="Inter"/>
          <w:b w:val="0"/>
          <w:color w:val="8A95A3"/>
          <w:sz w:val="16"/>
        </w:rPr>
        <w:t>Пример: при заводской цене 100 ₽ → дистрибьютор продаёт в РТТ по 135 ₽ → РТТ продаёт потребителю по ~202 ₽.</w:t>
      </w:r>
    </w:p>
    <w:p>
      <w:r>
        <w:rPr>
          <w:rFonts w:ascii="Inter" w:hAnsi="Inter"/>
          <w:b/>
          <w:color w:val="C00000"/>
          <w:sz w:val="22"/>
        </w:rPr>
        <w:t>5. ОРГАНИЗАЦИЯ ПРОДАЖ — ЭКСКЛЮЗИВНЫЕ ТП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51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 ЭТП покрывает</w:t>
            </w:r>
          </w:p>
        </w:tc>
        <w:tc>
          <w:tcPr>
            <w:tcW w:type="dxa" w:w="51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120 РТТ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 ЭТП покрывают</w:t>
            </w:r>
          </w:p>
        </w:tc>
        <w:tc>
          <w:tcPr>
            <w:tcW w:type="dxa" w:w="51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480 РТТ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Товарооборот через ЭТП</w:t>
            </w:r>
          </w:p>
        </w:tc>
        <w:tc>
          <w:tcPr>
            <w:tcW w:type="dxa" w:w="51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40 млн ₽/год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Товарооборот через ТП дистрибьютора</w:t>
            </w:r>
          </w:p>
        </w:tc>
        <w:tc>
          <w:tcPr>
            <w:tcW w:type="dxa" w:w="51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20 млн ₽/год</w:t>
            </w:r>
          </w:p>
        </w:tc>
      </w:tr>
      <w:tr>
        <w:tc>
          <w:tcPr>
            <w:tcW w:type="dxa" w:w="51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8"/>
              </w:rPr>
              <w:t>ИТОГО год 1</w:t>
            </w:r>
          </w:p>
        </w:tc>
        <w:tc>
          <w:tcPr>
            <w:tcW w:type="dxa" w:w="51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60 млн ₽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6. ПРОГНОЗ ТОВАРООБОРОТА ПО ГОДАМ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Год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Товарооборот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Рост</w:t>
            </w:r>
          </w:p>
        </w:tc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1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60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—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 ЭТП + ТП дистрибьютора, 300 SKU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2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120 млн ₽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×2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Расширение АКБ до 800+ РТТ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3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312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×5,2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Полное покрытие 8% потенциала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7. АССОРТИМЕНТ НАЧАЛА ВЗАИМОДЕЙСТВИЯ</w:t>
      </w:r>
    </w:p>
    <w:p>
      <w:r>
        <w:rPr>
          <w:rFonts w:ascii="Inter" w:hAnsi="Inter"/>
          <w:b/>
          <w:color w:val="2F3A48"/>
          <w:sz w:val="18"/>
        </w:rPr>
        <w:t>Стартовый ассортимент: 300 SKU из портфеля Эмпилс</w:t>
      </w:r>
    </w:p>
    <w:p>
      <w:r>
        <w:rPr>
          <w:rFonts w:ascii="Inter" w:hAnsi="Inter"/>
          <w:b w:val="0"/>
          <w:color w:val="2F3A48"/>
          <w:sz w:val="18"/>
        </w:rPr>
        <w:t>Бренды: ОРЕОЛ · ОРЕОЛ ДИСКОНТ · NEWTONE · AVANTGARDE · TITAN · PROFIWOOD</w:t>
      </w:r>
    </w:p>
    <w:p>
      <w:r>
        <w:rPr>
          <w:rFonts w:ascii="Inter" w:hAnsi="Inter"/>
          <w:b w:val="0"/>
          <w:color w:val="2F3A48"/>
          <w:sz w:val="18"/>
        </w:rPr>
        <w:t>Категории: краски интерьерные · фасадные · эмали · грунт-эмали · грунтовки · шпатлёвки · клеи</w:t>
      </w:r>
    </w:p>
    <w:p>
      <w:r>
        <w:rPr>
          <w:rFonts w:ascii="Inter" w:hAnsi="Inter"/>
          <w:b/>
          <w:color w:val="1A7D44"/>
          <w:sz w:val="22"/>
        </w:rPr>
        <w:t>8. ПОДДЕРЖКА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Программа</w:t>
            </w:r>
          </w:p>
        </w:tc>
        <w:tc>
          <w:tcPr>
            <w:tcW w:type="dxa" w:w="51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Описание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Программа мотивации общего прайса</w:t>
            </w:r>
          </w:p>
        </w:tc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Бонусы и ретро-отсрочки для ТП, продающих весь ассортимент Эмпилс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Мотивация сотрудников РТТ</w:t>
            </w:r>
          </w:p>
        </w:tc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Программа поощрения продавцов торговых точек за рекомендации продукции Эмпилс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Продвижение фокусных банок</w:t>
            </w:r>
          </w:p>
        </w:tc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Целевое продвижение топ-SKU (TITAN, NEWTONE) с повышенной маржой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Гибкая отсрочка</w:t>
            </w:r>
          </w:p>
        </w:tc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Индивидуальные условия отсрочки платежа в зависимости от объёма закупки и истории сотрудничества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Команда ЭТП</w:t>
            </w:r>
          </w:p>
        </w:tc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4 эксклюзивных торговых представителя, обученных и мотивируемых Эмпилс</w:t>
            </w:r>
          </w:p>
        </w:tc>
      </w:tr>
    </w:tbl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