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2F3A48"/>
          <w:sz w:val="32"/>
        </w:rPr>
        <w:t>Коммерческое предложение ЗАО «Эмпилс»</w:t>
      </w:r>
    </w:p>
    <w:p>
      <w:pPr>
        <w:jc w:val="center"/>
      </w:pPr>
      <w:r>
        <w:rPr>
          <w:rFonts w:ascii="Inter" w:hAnsi="Inter"/>
          <w:i/>
          <w:color w:val="8A95A3"/>
          <w:sz w:val="20"/>
        </w:rPr>
        <w:t>Партнёр: Олимп · Регионы: Новосибирская, Томская, Кемеровская обл., Алтайский край, Республика Алтай</w:t>
      </w:r>
    </w:p>
    <w:p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r>
        <w:rPr>
          <w:rFonts w:ascii="Inter" w:hAnsi="Inter"/>
          <w:b/>
          <w:color w:val="C00000"/>
          <w:sz w:val="22"/>
        </w:rPr>
        <w:t>1. ПОТЕНЦИАЛ РЕГИОНА — НАСЕЛЕНИЕ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Регион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Население (чел.)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Ключевые города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Города (чел.)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Новосибирская область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2 786 500</w:t>
            </w:r>
          </w:p>
        </w:tc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Новосибирск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1 633 000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Кемеровская область</w:t>
            </w:r>
          </w:p>
        </w:tc>
        <w:tc>
          <w:tcPr>
            <w:tcW w:type="dxa" w:w="2550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2 527 200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Кемерово</w:t>
            </w:r>
          </w:p>
        </w:tc>
        <w:tc>
          <w:tcPr>
            <w:tcW w:type="dxa" w:w="2550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560 000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Алтайский край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2 099 200</w:t>
            </w:r>
          </w:p>
        </w:tc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Барнаул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640 000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Томская область</w:t>
            </w:r>
          </w:p>
        </w:tc>
        <w:tc>
          <w:tcPr>
            <w:tcW w:type="dxa" w:w="2550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1 075 000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Томск</w:t>
            </w:r>
          </w:p>
        </w:tc>
        <w:tc>
          <w:tcPr>
            <w:tcW w:type="dxa" w:w="2550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578 000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Республика Алтай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210 100</w:t>
            </w:r>
          </w:p>
        </w:tc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Горно-Алтайск</w:t>
            </w:r>
          </w:p>
        </w:tc>
        <w:tc>
          <w:tcPr>
            <w:tcW w:type="dxa" w:w="2550"/>
            <w:shd w:fill="F5F2EC" w:val="clear"/>
          </w:tcPr>
          <w:p>
            <w:pPr>
              <w:jc w:val="righ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64 000</w:t>
            </w:r>
          </w:p>
        </w:tc>
      </w:tr>
      <w:tr>
        <w:tc>
          <w:tcPr>
            <w:tcW w:type="dxa" w:w="2550"/>
            <w:shd w:fill="E8E3D9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6"/>
              </w:rPr>
              <w:t>ИТОГО</w:t>
            </w:r>
          </w:p>
        </w:tc>
        <w:tc>
          <w:tcPr>
            <w:tcW w:type="dxa" w:w="2550"/>
            <w:shd w:fill="E8E3D9" w:val="clear"/>
          </w:tcPr>
          <w:p>
            <w:pPr>
              <w:jc w:val="right"/>
            </w:pPr>
            <w:r/>
            <w:r>
              <w:rPr>
                <w:rFonts w:ascii="Inter" w:hAnsi="Inter"/>
                <w:b/>
                <w:color w:val="2F3A48"/>
                <w:sz w:val="16"/>
              </w:rPr>
              <w:t>8 698 000</w:t>
            </w:r>
          </w:p>
        </w:tc>
        <w:tc>
          <w:tcPr>
            <w:tcW w:type="dxa" w:w="2550"/>
            <w:shd w:fill="E8E3D9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6"/>
              </w:rPr>
              <w:t>5 городов</w:t>
            </w:r>
          </w:p>
        </w:tc>
        <w:tc>
          <w:tcPr>
            <w:tcW w:type="dxa" w:w="2550"/>
            <w:shd w:fill="E8E3D9" w:val="clear"/>
          </w:tcPr>
          <w:p>
            <w:pPr>
              <w:jc w:val="right"/>
            </w:pPr>
            <w:r/>
            <w:r>
              <w:rPr>
                <w:rFonts w:ascii="Inter" w:hAnsi="Inter"/>
                <w:b/>
                <w:color w:val="2F3A48"/>
                <w:sz w:val="16"/>
              </w:rPr>
              <w:t>3 475 000</w:t>
            </w:r>
          </w:p>
        </w:tc>
      </w:tr>
    </w:tbl>
    <w:p>
      <w:r>
        <w:rPr>
          <w:rFonts w:ascii="Inter" w:hAnsi="Inter"/>
          <w:b/>
          <w:color w:val="2F3A48"/>
          <w:sz w:val="18"/>
        </w:rPr>
        <w:t>Население 5 регионов: 8 698 000 чел. · Городское население в крупных городах: 3 475 000 чел. (база для расчёта потенциала рынка)</w:t>
      </w:r>
    </w:p>
    <w:p>
      <w:r>
        <w:rPr>
          <w:rFonts w:ascii="Inter" w:hAnsi="Inter"/>
          <w:b/>
          <w:color w:val="C00000"/>
          <w:sz w:val="22"/>
        </w:rPr>
        <w:t>2. ПОТЕНЦИАЛ РЫНКА ЛКМ (по городскому населению)</w:t>
      </w:r>
    </w:p>
    <w:p>
      <w:r>
        <w:rPr>
          <w:rFonts w:ascii="Inter" w:hAnsi="Inter"/>
          <w:b w:val="0"/>
          <w:color w:val="2F3A48"/>
          <w:sz w:val="18"/>
        </w:rPr>
        <w:t>База расчёта: городское население в ключевых городах — 3 475 000 чел. (именно здесь концентрируется спрос на ЛКМ)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Потребление ЛКМ на душу населения РФ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~1123 ₽/чел.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~14.59 кг/чел.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Расчёт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3 475 000 × 1123 ₽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3 475 000 × 14.59 кг ÷ 1000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Средняя цена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~77 000 ₽/т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—</w:t>
            </w:r>
          </w:p>
        </w:tc>
      </w:tr>
      <w:tr>
        <w:tc>
          <w:tcPr>
            <w:tcW w:type="dxa" w:w="34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ПОТЕНЦИАЛ РЫНКА ЛКМ</w:t>
            </w:r>
          </w:p>
        </w:tc>
        <w:tc>
          <w:tcPr>
            <w:tcW w:type="dxa" w:w="3400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3.90 млрд ₽</w:t>
            </w:r>
          </w:p>
        </w:tc>
        <w:tc>
          <w:tcPr>
            <w:tcW w:type="dxa" w:w="3400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50 700 т</w:t>
            </w:r>
          </w:p>
        </w:tc>
      </w:tr>
    </w:tbl>
    <w:p>
      <w:r>
        <w:rPr>
          <w:rFonts w:ascii="Inter" w:hAnsi="Inter"/>
          <w:b/>
          <w:color w:val="C00000"/>
          <w:sz w:val="22"/>
        </w:rPr>
        <w:t>3. ТЕКУЩИЙ РЫНОК — ФАКТИЧЕСКИЕ ДИСТРИБЬЮТОРЫ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Дистрибьютор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Портфель конкурентов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Территория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Сибхозторг/Стройторг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Рогнеда, Кушнаренко, Декарт, ЭСКАРО, НБХ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Новосиб. обл., Алт. край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ООО «Олимп»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АВС Фарбен, Радуга, НБХ, ЭСКАРО, ДЕКАРТ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Алт. край, Новосиб., Кемерово, Томск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ООО «АЛЬТЕРРА»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Лакра, Рогнеда, Мефферт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Новосиб. обл., Алт. край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Стройпарк 1ГМ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Тиккурила, Рогнеда, Декарт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г. Томск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ООО «Нисса»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Лакра, Континенталь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Алтайский край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ООО «Колорлон»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Рогнеда, Лакра, Декарт, Мефферт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Новосиб. обл.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ООО «АНА»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Тиккурила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Омская обл.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ИП Шишков С.В.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ТД Радуга, АВС Фарбен, Рогнеда, ВИТ, НБХ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Омская обл.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ИП Миронкин Е.В.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Лакра</w:t>
            </w:r>
          </w:p>
        </w:tc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Омская обл.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5"/>
              </w:rPr>
              <w:t>ИП Ковалев А.А.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Кушнаренко, Новый Дом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5"/>
              </w:rPr>
              <w:t>Омская обл.</w:t>
            </w:r>
          </w:p>
        </w:tc>
      </w:tr>
      <w:tr>
        <w:tc>
          <w:tcPr>
            <w:tcW w:type="dxa" w:w="34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6"/>
              </w:rPr>
              <w:t>ИТОГО (10 дистрибьюторов)</w:t>
            </w:r>
          </w:p>
        </w:tc>
        <w:tc>
          <w:tcPr>
            <w:tcW w:type="dxa" w:w="34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Совокупный ТО: 1195 млн ₽</w:t>
            </w:r>
          </w:p>
        </w:tc>
        <w:tc>
          <w:tcPr>
            <w:tcW w:type="dxa" w:w="34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~15 519 т</w:t>
            </w:r>
          </w:p>
        </w:tc>
      </w:tr>
    </w:tbl>
    <w:p>
      <w:r>
        <w:rPr>
          <w:rFonts w:ascii="Inter" w:hAnsi="Inter"/>
          <w:b/>
          <w:color w:val="C00000"/>
          <w:sz w:val="20"/>
        </w:rPr>
        <w:t>НЕДОЗАГРУЗКА РЕГИОНА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рублях (млн)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Доля от потенциала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Теоретический потенциал рынка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3 902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50 700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100%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Фактический ТО дистрибьюторов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1195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15 519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30.6%</w:t>
            </w:r>
          </w:p>
        </w:tc>
      </w:tr>
      <w:tr>
        <w:tc>
          <w:tcPr>
            <w:tcW w:type="dxa" w:w="2550"/>
            <w:shd w:fill="FFE0E0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НЕДОЗАГРУЗКА РЕГИОНА</w:t>
            </w:r>
          </w:p>
        </w:tc>
        <w:tc>
          <w:tcPr>
            <w:tcW w:type="dxa" w:w="2550"/>
            <w:shd w:fill="FFE0E0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2 707</w:t>
            </w:r>
          </w:p>
        </w:tc>
        <w:tc>
          <w:tcPr>
            <w:tcW w:type="dxa" w:w="2550"/>
            <w:shd w:fill="FFE0E0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35 181</w:t>
            </w:r>
          </w:p>
        </w:tc>
        <w:tc>
          <w:tcPr>
            <w:tcW w:type="dxa" w:w="2550"/>
            <w:shd w:fill="FFE0E0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69.4%</w:t>
            </w:r>
          </w:p>
        </w:tc>
      </w:tr>
    </w:tbl>
    <w:p>
      <w:r>
        <w:rPr>
          <w:rFonts w:ascii="Inter" w:hAnsi="Inter"/>
          <w:b/>
          <w:color w:val="C00000"/>
          <w:sz w:val="18"/>
        </w:rPr>
        <w:t>⚠ Регион недозагружен на 69% — потенциал 2 707 млн ₽ (35 181 т) не освоен</w:t>
      </w:r>
    </w:p>
    <w:p>
      <w:r>
        <w:rPr>
          <w:rFonts w:ascii="Inter" w:hAnsi="Inter"/>
          <w:b/>
          <w:color w:val="C00000"/>
          <w:sz w:val="22"/>
        </w:rPr>
        <w:t>4. ДОЛЯ ЭМПИЛС — 8% РЫНКА</w:t>
      </w:r>
    </w:p>
    <w:p>
      <w:r>
        <w:rPr>
          <w:rFonts w:ascii="Inter" w:hAnsi="Inter"/>
          <w:b w:val="0"/>
          <w:color w:val="2F3A48"/>
          <w:sz w:val="18"/>
        </w:rPr>
        <w:t>Среднерыночная доля Эмпилс в РФ: ~8% от рынка ЛКМ. Применительно к региону: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type="dxa" w:w="34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>
        <w:tc>
          <w:tcPr>
            <w:tcW w:type="dxa" w:w="34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Потенциал рынка (100%)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3.90 млрд ₽</w:t>
            </w:r>
          </w:p>
        </w:tc>
        <w:tc>
          <w:tcPr>
            <w:tcW w:type="dxa" w:w="34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6"/>
              </w:rPr>
              <w:t>50 700 т</w:t>
            </w:r>
          </w:p>
        </w:tc>
      </w:tr>
      <w:tr>
        <w:tc>
          <w:tcPr>
            <w:tcW w:type="dxa" w:w="34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Доля Эмпилс (8%)</w:t>
            </w:r>
          </w:p>
        </w:tc>
        <w:tc>
          <w:tcPr>
            <w:tcW w:type="dxa" w:w="3400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312 млн ₽</w:t>
            </w:r>
          </w:p>
        </w:tc>
        <w:tc>
          <w:tcPr>
            <w:tcW w:type="dxa" w:w="3400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6"/>
              </w:rPr>
              <w:t>4 056 т</w:t>
            </w:r>
          </w:p>
        </w:tc>
      </w:tr>
    </w:tbl>
    <w:p>
      <w:r>
        <w:rPr>
          <w:rFonts w:ascii="Inter" w:hAnsi="Inter"/>
          <w:b/>
          <w:color w:val="2F3A48"/>
          <w:sz w:val="18"/>
        </w:rPr>
        <w:t>Покрытие потенциальной АКБ партнёра: 1200 РТТ</w:t>
      </w:r>
    </w:p>
    <w:p>
      <w:r>
        <w:rPr>
          <w:rFonts w:ascii="Inter" w:hAnsi="Inter"/>
          <w:b/>
          <w:color w:val="C00000"/>
          <w:sz w:val="22"/>
        </w:rPr>
        <w:t>5. ОРГАНИЗАЦИЯ ПРОДАЖ — ЭКСКЛЮЗИВНЫЕ ТП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10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 ЭТП покрывает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120 РТТ</w:t>
            </w:r>
          </w:p>
        </w:tc>
      </w:tr>
      <w:tr>
        <w:tc>
          <w:tcPr>
            <w:tcW w:type="dxa" w:w="51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 ЭТП покрывают</w:t>
            </w:r>
          </w:p>
        </w:tc>
        <w:tc>
          <w:tcPr>
            <w:tcW w:type="dxa" w:w="51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480 РТТ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Товарооборот через ЭТП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40 млн ₽/год</w:t>
            </w:r>
          </w:p>
        </w:tc>
      </w:tr>
      <w:tr>
        <w:tc>
          <w:tcPr>
            <w:tcW w:type="dxa" w:w="510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Товарооборот через ТП дистрибьютора</w:t>
            </w:r>
          </w:p>
        </w:tc>
        <w:tc>
          <w:tcPr>
            <w:tcW w:type="dxa" w:w="510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20 млн ₽/год</w:t>
            </w:r>
          </w:p>
        </w:tc>
      </w:tr>
      <w:tr>
        <w:tc>
          <w:tcPr>
            <w:tcW w:type="dxa" w:w="5100"/>
            <w:shd w:fill="FFF5E6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ИТОГО год 1</w:t>
            </w:r>
          </w:p>
        </w:tc>
        <w:tc>
          <w:tcPr>
            <w:tcW w:type="dxa" w:w="5100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18"/>
              </w:rPr>
              <w:t>60 млн ₽</w:t>
            </w:r>
          </w:p>
        </w:tc>
      </w:tr>
    </w:tbl>
    <w:p>
      <w:r>
        <w:rPr>
          <w:rFonts w:ascii="Inter" w:hAnsi="Inter"/>
          <w:b/>
          <w:color w:val="C00000"/>
          <w:sz w:val="22"/>
        </w:rPr>
        <w:t>6. ПРОГНОЗ ТОВАРООБОРОТА ПО ГОДАМ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type="dxa" w:w="2550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Рост</w:t>
            </w:r>
          </w:p>
        </w:tc>
        <w:tc>
          <w:tcPr>
            <w:tcW w:type="dxa" w:w="2550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Год 1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60 млн ₽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—</w:t>
            </w:r>
          </w:p>
        </w:tc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 ЭТП + ТП дистрибьютора, 300 SKU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Год 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120 млн ₽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×2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Расширение АКБ до 800+ РТТ</w:t>
            </w:r>
          </w:p>
        </w:tc>
      </w:tr>
      <w:tr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Год 3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180 млн ₽</w:t>
            </w:r>
          </w:p>
        </w:tc>
        <w:tc>
          <w:tcPr>
            <w:tcW w:type="dxa" w:w="2550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×3</w:t>
            </w:r>
          </w:p>
        </w:tc>
        <w:tc>
          <w:tcPr>
            <w:tcW w:type="dxa" w:w="2550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Полное покрытие потенциала 8%</w:t>
            </w:r>
          </w:p>
        </w:tc>
      </w:tr>
    </w:tbl>
    <w:p>
      <w:r>
        <w:rPr>
          <w:rFonts w:ascii="Inter" w:hAnsi="Inter"/>
          <w:b/>
          <w:color w:val="C00000"/>
          <w:sz w:val="22"/>
        </w:rPr>
        <w:t>7. АССОРТИМЕНТ НАЧАЛА ВЗАИМОДЕЙСТВИЯ</w:t>
      </w:r>
    </w:p>
    <w:p>
      <w:r>
        <w:rPr>
          <w:rFonts w:ascii="Inter" w:hAnsi="Inter"/>
          <w:b/>
          <w:color w:val="2F3A48"/>
          <w:sz w:val="18"/>
        </w:rPr>
        <w:t>Стартовый ассортимент: 300 SKU из портфеля Эмпилс</w:t>
      </w:r>
    </w:p>
    <w:p>
      <w:r>
        <w:rPr>
          <w:rFonts w:ascii="Inter" w:hAnsi="Inter"/>
          <w:b w:val="0"/>
          <w:color w:val="2F3A48"/>
          <w:sz w:val="18"/>
        </w:rPr>
        <w:t>Бренды: ОРЕОЛ · ОРЕОЛ ДИСКОНТ · NEWTONE · AVANTGARDE · TITAN · PROFIWOOD</w:t>
      </w:r>
    </w:p>
    <w:p>
      <w:r>
        <w:rPr>
          <w:rFonts w:ascii="Inter" w:hAnsi="Inter"/>
          <w:b w:val="0"/>
          <w:color w:val="2F3A48"/>
          <w:sz w:val="18"/>
        </w:rPr>
        <w:t>Категории: краски интерьерные · фасадные · эмали · грунт-эмали · грунтовки · шпатлёвки · клеи</w:t>
      </w:r>
    </w:p>
    <w:p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r>
        <w:rPr>
          <w:rFonts w:ascii="Inter" w:hAnsi="Inter"/>
          <w:b/>
          <w:color w:val="8A95A3"/>
          <w:sz w:val="20"/>
        </w:rPr>
        <w:t>ЛОГИЧЕСКАЯ ЦЕПОЧКА РАСЧЁТА</w:t>
      </w:r>
    </w:p>
    <w:p>
      <w:pPr>
        <w:jc w:val="center"/>
      </w:pPr>
      <w:r>
        <w:rPr>
          <w:rFonts w:ascii="Inter" w:hAnsi="Inter"/>
          <w:b/>
          <w:i/>
          <w:color w:val="C9A77C"/>
          <w:sz w:val="16"/>
        </w:rPr>
        <w:t>Города: 3.48 млн чел. → рынок ЛКМ 3.9 млрд ₽ (50 700 т) → фактически 1195 млн ₽ → недозагрузка 69% → доля Эмпилс 8% = 312 млн ₽ → АКБ 1200 РТТ → 4 ЭТП → Г1: 60M → Г2: 120M → Г3: 180M ₽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