
<file path=[Content_Types].xml><?xml version="1.0" encoding="utf-8"?>
<Types xmlns="http://schemas.openxmlformats.org/package/2006/content-types">
  <Override PartName="/word/footnotes.xml" ContentType="application/vnd.openxmlformats-officedocument.wordprocessingml.footnotes+xml"/>
  <Override PartName="/word/footer8.xml" ContentType="application/vnd.openxmlformats-officedocument.wordprocessingml.footer+xml"/>
  <Override PartName="/word/footer9.xml" ContentType="application/vnd.openxmlformats-officedocument.wordprocessingml.footer+xml"/>
  <Default Extension="wmf" ContentType="image/x-wmf"/>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247" w:rsidRDefault="00712247">
      <w:pPr>
        <w:widowControl/>
        <w:ind w:left="900" w:right="-360"/>
        <w:rPr>
          <w:b/>
        </w:rPr>
      </w:pPr>
    </w:p>
    <w:p w:rsidR="00712247" w:rsidRDefault="00712247">
      <w:pPr>
        <w:widowControl/>
        <w:ind w:left="900" w:right="-360"/>
        <w:rPr>
          <w:b/>
        </w:rPr>
      </w:pPr>
    </w:p>
    <w:p w:rsidR="00712247" w:rsidRDefault="00E77DDD">
      <w:pPr>
        <w:widowControl/>
        <w:ind w:left="1260" w:right="-360"/>
        <w:rPr>
          <w:b/>
          <w:sz w:val="96"/>
        </w:rPr>
      </w:pPr>
      <w:r>
        <w:rPr>
          <w:b/>
          <w:noProof/>
          <w:sz w:val="20"/>
        </w:rPr>
        <w:drawing>
          <wp:inline distT="0" distB="0" distL="0" distR="0">
            <wp:extent cx="3705225" cy="19716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705225" cy="1971675"/>
                    </a:xfrm>
                    <a:prstGeom prst="rect">
                      <a:avLst/>
                    </a:prstGeom>
                    <a:noFill/>
                    <a:ln w="9525">
                      <a:noFill/>
                      <a:miter lim="800000"/>
                      <a:headEnd/>
                      <a:tailEnd/>
                    </a:ln>
                  </pic:spPr>
                </pic:pic>
              </a:graphicData>
            </a:graphic>
          </wp:inline>
        </w:drawing>
      </w:r>
    </w:p>
    <w:p w:rsidR="00712247" w:rsidRDefault="00712247">
      <w:pPr>
        <w:widowControl/>
        <w:ind w:left="720" w:right="-360"/>
        <w:rPr>
          <w:b/>
          <w:sz w:val="28"/>
        </w:rPr>
      </w:pPr>
    </w:p>
    <w:p w:rsidR="00712247" w:rsidRDefault="00712247">
      <w:pPr>
        <w:widowControl/>
        <w:ind w:left="-360" w:right="-360"/>
        <w:jc w:val="center"/>
        <w:rPr>
          <w:b/>
          <w:sz w:val="96"/>
        </w:rPr>
      </w:pPr>
      <w:r>
        <w:rPr>
          <w:b/>
          <w:sz w:val="96"/>
        </w:rPr>
        <w:t xml:space="preserve">Systems </w:t>
      </w:r>
      <w:smartTag w:uri="urn:schemas-microsoft-com:office:smarttags" w:element="place">
        <w:smartTag w:uri="urn:schemas-microsoft-com:office:smarttags" w:element="City">
          <w:r>
            <w:rPr>
              <w:b/>
              <w:sz w:val="96"/>
            </w:rPr>
            <w:t>Alliance</w:t>
          </w:r>
        </w:smartTag>
      </w:smartTag>
    </w:p>
    <w:p w:rsidR="00712247" w:rsidRDefault="00712247">
      <w:pPr>
        <w:widowControl/>
        <w:ind w:left="-360" w:right="-360"/>
        <w:jc w:val="center"/>
        <w:rPr>
          <w:b/>
        </w:rPr>
      </w:pPr>
    </w:p>
    <w:p w:rsidR="00712247" w:rsidRDefault="00712247">
      <w:pPr>
        <w:widowControl/>
        <w:ind w:left="-360" w:right="-360"/>
        <w:jc w:val="center"/>
        <w:rPr>
          <w:b/>
        </w:rPr>
      </w:pPr>
    </w:p>
    <w:p w:rsidR="00712247" w:rsidRDefault="00712247">
      <w:pPr>
        <w:widowControl/>
        <w:ind w:left="-360" w:right="-360"/>
        <w:jc w:val="center"/>
        <w:rPr>
          <w:b/>
        </w:rPr>
      </w:pPr>
    </w:p>
    <w:p w:rsidR="00712247" w:rsidRDefault="00712247">
      <w:pPr>
        <w:widowControl/>
        <w:ind w:left="-360" w:right="-360"/>
        <w:jc w:val="center"/>
        <w:rPr>
          <w:b/>
        </w:rPr>
      </w:pPr>
    </w:p>
    <w:p w:rsidR="00712247" w:rsidRDefault="00712247">
      <w:pPr>
        <w:widowControl/>
        <w:ind w:left="-360" w:right="-360"/>
        <w:jc w:val="center"/>
        <w:rPr>
          <w:b/>
        </w:rPr>
      </w:pPr>
    </w:p>
    <w:p w:rsidR="00712247" w:rsidRDefault="00712247">
      <w:pPr>
        <w:widowControl/>
        <w:ind w:left="-360" w:right="-360"/>
        <w:jc w:val="center"/>
        <w:rPr>
          <w:b/>
        </w:rPr>
      </w:pPr>
    </w:p>
    <w:p w:rsidR="00712247" w:rsidRDefault="00712247">
      <w:pPr>
        <w:widowControl/>
        <w:jc w:val="center"/>
        <w:rPr>
          <w:b/>
          <w:sz w:val="72"/>
        </w:rPr>
      </w:pPr>
      <w:r>
        <w:rPr>
          <w:b/>
          <w:sz w:val="72"/>
        </w:rPr>
        <w:t>VPP-9: Instrument Vendor Abbreviations</w:t>
      </w:r>
    </w:p>
    <w:p w:rsidR="00712247" w:rsidRDefault="00712247">
      <w:pPr>
        <w:widowControl/>
        <w:ind w:left="-360" w:right="-360"/>
        <w:jc w:val="center"/>
        <w:rPr>
          <w:b/>
          <w:sz w:val="48"/>
        </w:rPr>
      </w:pPr>
    </w:p>
    <w:p w:rsidR="00712247" w:rsidRDefault="00712247">
      <w:pPr>
        <w:widowControl/>
        <w:ind w:left="-360" w:right="-360"/>
        <w:jc w:val="center"/>
        <w:rPr>
          <w:b/>
          <w:sz w:val="48"/>
        </w:rPr>
      </w:pPr>
    </w:p>
    <w:p w:rsidR="00712247" w:rsidRDefault="00712247">
      <w:pPr>
        <w:widowControl/>
        <w:ind w:left="-360" w:right="-360"/>
        <w:jc w:val="center"/>
        <w:rPr>
          <w:b/>
          <w:sz w:val="48"/>
        </w:rPr>
      </w:pPr>
      <w:r>
        <w:rPr>
          <w:b/>
          <w:sz w:val="48"/>
        </w:rPr>
        <w:t xml:space="preserve">Revision </w:t>
      </w:r>
      <w:r w:rsidR="007946C2">
        <w:rPr>
          <w:b/>
          <w:sz w:val="48"/>
        </w:rPr>
        <w:t>4.</w:t>
      </w:r>
      <w:r w:rsidR="00E77DDD">
        <w:rPr>
          <w:b/>
          <w:sz w:val="48"/>
        </w:rPr>
        <w:t>5</w:t>
      </w:r>
    </w:p>
    <w:p w:rsidR="00712247" w:rsidRDefault="00712247">
      <w:pPr>
        <w:widowControl/>
        <w:ind w:left="-360" w:right="-360"/>
        <w:jc w:val="center"/>
        <w:rPr>
          <w:b/>
          <w:sz w:val="36"/>
        </w:rPr>
      </w:pPr>
    </w:p>
    <w:p w:rsidR="00712247" w:rsidRDefault="00E77DDD">
      <w:pPr>
        <w:widowControl/>
        <w:ind w:left="-360" w:right="-360"/>
        <w:jc w:val="center"/>
        <w:rPr>
          <w:b/>
          <w:sz w:val="72"/>
        </w:rPr>
      </w:pPr>
      <w:r>
        <w:rPr>
          <w:b/>
          <w:sz w:val="48"/>
        </w:rPr>
        <w:t>May 13, 2010</w:t>
      </w:r>
    </w:p>
    <w:p w:rsidR="00712247" w:rsidRDefault="00712247">
      <w:pPr>
        <w:widowControl/>
        <w:tabs>
          <w:tab w:val="left" w:pos="6480"/>
        </w:tabs>
        <w:jc w:val="center"/>
        <w:rPr>
          <w:b/>
          <w:sz w:val="36"/>
        </w:rPr>
      </w:pPr>
    </w:p>
    <w:p w:rsidR="00712247" w:rsidRDefault="00712247">
      <w:pPr>
        <w:widowControl/>
        <w:tabs>
          <w:tab w:val="left" w:pos="6480"/>
        </w:tabs>
        <w:jc w:val="center"/>
        <w:rPr>
          <w:b/>
        </w:rPr>
      </w:pPr>
    </w:p>
    <w:p w:rsidR="00712247" w:rsidRDefault="00712247">
      <w:pPr>
        <w:widowControl/>
        <w:tabs>
          <w:tab w:val="left" w:pos="6480"/>
        </w:tabs>
        <w:jc w:val="center"/>
        <w:rPr>
          <w:b/>
        </w:rPr>
      </w:pPr>
    </w:p>
    <w:p w:rsidR="00712247" w:rsidRDefault="00712247">
      <w:pPr>
        <w:widowControl/>
        <w:ind w:left="900" w:right="-360"/>
        <w:rPr>
          <w:b/>
        </w:rPr>
      </w:pPr>
    </w:p>
    <w:p w:rsidR="00712247" w:rsidRDefault="00712247">
      <w:pPr>
        <w:widowControl/>
        <w:ind w:left="900" w:right="-360"/>
        <w:rPr>
          <w:b/>
        </w:rPr>
        <w:sectPr w:rsidR="00712247">
          <w:footerReference w:type="even" r:id="rId8"/>
          <w:footerReference w:type="default" r:id="rId9"/>
          <w:footnotePr>
            <w:numRestart w:val="eachPage"/>
          </w:footnotePr>
          <w:endnotePr>
            <w:numFmt w:val="decimal"/>
          </w:endnotePr>
          <w:pgSz w:w="12240" w:h="15840"/>
          <w:pgMar w:top="1440" w:right="1440" w:bottom="1440" w:left="1440" w:header="720" w:footer="720" w:gutter="0"/>
          <w:cols w:space="720"/>
        </w:sectPr>
      </w:pPr>
    </w:p>
    <w:p w:rsidR="00712247" w:rsidRDefault="00712247">
      <w:pPr>
        <w:widowControl/>
        <w:jc w:val="center"/>
        <w:rPr>
          <w:b/>
          <w:sz w:val="48"/>
        </w:rPr>
      </w:pPr>
      <w:r>
        <w:rPr>
          <w:b/>
          <w:sz w:val="48"/>
        </w:rPr>
        <w:lastRenderedPageBreak/>
        <w:t>VPP-9 Revision History</w:t>
      </w:r>
    </w:p>
    <w:p w:rsidR="00712247" w:rsidRDefault="00712247">
      <w:pPr>
        <w:widowControl/>
        <w:ind w:left="1440" w:right="1440"/>
        <w:jc w:val="center"/>
        <w:rPr>
          <w:sz w:val="20"/>
        </w:rPr>
      </w:pPr>
      <w:r>
        <w:rPr>
          <w:sz w:val="20"/>
        </w:rPr>
        <w:t xml:space="preserve">This section is an overview of the revision history of the VPP-9 specification.  </w:t>
      </w:r>
    </w:p>
    <w:p w:rsidR="00712247" w:rsidRDefault="00712247">
      <w:pPr>
        <w:widowControl/>
        <w:rPr>
          <w:b/>
          <w:sz w:val="36"/>
        </w:rPr>
      </w:pPr>
    </w:p>
    <w:p w:rsidR="00712247" w:rsidRDefault="00712247">
      <w:pPr>
        <w:widowControl/>
        <w:rPr>
          <w:b/>
          <w:sz w:val="26"/>
        </w:rPr>
      </w:pPr>
      <w:r>
        <w:rPr>
          <w:b/>
          <w:sz w:val="26"/>
        </w:rPr>
        <w:t xml:space="preserve">Revision 1.0,  November 28, 1994 </w:t>
      </w:r>
    </w:p>
    <w:p w:rsidR="00712247" w:rsidRDefault="00712247">
      <w:pPr>
        <w:widowControl/>
        <w:ind w:left="360"/>
        <w:rPr>
          <w:sz w:val="22"/>
        </w:rPr>
      </w:pPr>
      <w:r>
        <w:rPr>
          <w:sz w:val="22"/>
        </w:rPr>
        <w:t>This edition reflects the first edition of this specification.</w:t>
      </w:r>
    </w:p>
    <w:p w:rsidR="00712247" w:rsidRDefault="00712247">
      <w:pPr>
        <w:widowControl/>
        <w:ind w:left="360"/>
        <w:rPr>
          <w:sz w:val="22"/>
        </w:rPr>
      </w:pPr>
    </w:p>
    <w:p w:rsidR="00712247" w:rsidRDefault="00712247">
      <w:pPr>
        <w:widowControl/>
        <w:rPr>
          <w:b/>
          <w:sz w:val="26"/>
        </w:rPr>
      </w:pPr>
      <w:r>
        <w:rPr>
          <w:b/>
          <w:sz w:val="26"/>
        </w:rPr>
        <w:t xml:space="preserve">Revision 1.1,  December 12, 1994 </w:t>
      </w:r>
    </w:p>
    <w:p w:rsidR="00712247" w:rsidRDefault="00712247">
      <w:pPr>
        <w:widowControl/>
        <w:ind w:left="360"/>
        <w:rPr>
          <w:sz w:val="22"/>
        </w:rPr>
      </w:pPr>
      <w:r>
        <w:rPr>
          <w:sz w:val="22"/>
        </w:rPr>
        <w:t xml:space="preserve">This edition reflects the following additions to the instrument vendor abbreviations table:  </w:t>
      </w:r>
      <w:r>
        <w:rPr>
          <w:sz w:val="22"/>
        </w:rPr>
        <w:br/>
        <w:t>Phase Metrics and Radisys Corporation.</w:t>
      </w:r>
    </w:p>
    <w:p w:rsidR="00712247" w:rsidRDefault="00712247">
      <w:pPr>
        <w:widowControl/>
        <w:ind w:left="360"/>
        <w:rPr>
          <w:sz w:val="22"/>
        </w:rPr>
      </w:pPr>
    </w:p>
    <w:p w:rsidR="00712247" w:rsidRDefault="00712247">
      <w:pPr>
        <w:widowControl/>
        <w:rPr>
          <w:b/>
          <w:sz w:val="26"/>
        </w:rPr>
      </w:pPr>
      <w:r>
        <w:rPr>
          <w:b/>
          <w:sz w:val="26"/>
        </w:rPr>
        <w:t>Revision 1.2,  January 6, 1995</w:t>
      </w:r>
    </w:p>
    <w:p w:rsidR="00712247" w:rsidRDefault="00712247">
      <w:pPr>
        <w:widowControl/>
        <w:ind w:left="360"/>
        <w:rPr>
          <w:sz w:val="22"/>
        </w:rPr>
      </w:pPr>
      <w:r>
        <w:rPr>
          <w:sz w:val="22"/>
        </w:rPr>
        <w:t xml:space="preserve">This edition reflects the following addition to the instrument vendor abbreviations table:  </w:t>
      </w:r>
      <w:r>
        <w:rPr>
          <w:sz w:val="22"/>
        </w:rPr>
        <w:br/>
        <w:t>Schlumberger Technologies.</w:t>
      </w:r>
    </w:p>
    <w:p w:rsidR="00712247" w:rsidRDefault="00712247">
      <w:pPr>
        <w:widowControl/>
        <w:ind w:left="360"/>
        <w:rPr>
          <w:sz w:val="22"/>
        </w:rPr>
      </w:pPr>
    </w:p>
    <w:p w:rsidR="00712247" w:rsidRDefault="00712247">
      <w:pPr>
        <w:widowControl/>
        <w:rPr>
          <w:b/>
          <w:sz w:val="26"/>
        </w:rPr>
      </w:pPr>
      <w:r>
        <w:rPr>
          <w:b/>
          <w:sz w:val="26"/>
        </w:rPr>
        <w:t>Revision 1.3,  February 24, 1995</w:t>
      </w:r>
    </w:p>
    <w:p w:rsidR="00712247" w:rsidRDefault="00712247">
      <w:pPr>
        <w:widowControl/>
        <w:ind w:left="360"/>
        <w:rPr>
          <w:sz w:val="22"/>
        </w:rPr>
      </w:pPr>
      <w:r>
        <w:rPr>
          <w:sz w:val="22"/>
        </w:rPr>
        <w:t xml:space="preserve">This edition reflects the following addition to the instrument vendor abbreviations table:  </w:t>
      </w:r>
      <w:r>
        <w:rPr>
          <w:sz w:val="22"/>
        </w:rPr>
        <w:br/>
        <w:t>Wandel &amp; Goltermann.</w:t>
      </w:r>
    </w:p>
    <w:p w:rsidR="00712247" w:rsidRDefault="00712247">
      <w:pPr>
        <w:widowControl/>
        <w:ind w:left="360"/>
        <w:rPr>
          <w:sz w:val="22"/>
        </w:rPr>
      </w:pPr>
    </w:p>
    <w:p w:rsidR="00712247" w:rsidRDefault="00712247">
      <w:pPr>
        <w:widowControl/>
        <w:rPr>
          <w:b/>
          <w:sz w:val="26"/>
        </w:rPr>
      </w:pPr>
      <w:r>
        <w:rPr>
          <w:b/>
          <w:sz w:val="26"/>
        </w:rPr>
        <w:t>Revision 1.4,  July 7, 1995</w:t>
      </w:r>
    </w:p>
    <w:p w:rsidR="00712247" w:rsidRDefault="00712247">
      <w:pPr>
        <w:widowControl/>
        <w:ind w:left="360"/>
        <w:rPr>
          <w:sz w:val="22"/>
        </w:rPr>
      </w:pPr>
      <w:r>
        <w:rPr>
          <w:sz w:val="22"/>
        </w:rPr>
        <w:t xml:space="preserve">This edition reflects the following additions to the instrument vendor abbreviations table:  </w:t>
      </w:r>
      <w:r>
        <w:rPr>
          <w:sz w:val="22"/>
        </w:rPr>
        <w:br/>
        <w:t>Scientific Research Corporation and Sony/Tektronix Corporation.</w:t>
      </w:r>
    </w:p>
    <w:p w:rsidR="00712247" w:rsidRDefault="00712247">
      <w:pPr>
        <w:widowControl/>
        <w:rPr>
          <w:sz w:val="22"/>
        </w:rPr>
      </w:pPr>
    </w:p>
    <w:p w:rsidR="00712247" w:rsidRDefault="00712247">
      <w:pPr>
        <w:widowControl/>
        <w:rPr>
          <w:b/>
          <w:sz w:val="26"/>
        </w:rPr>
      </w:pPr>
      <w:r>
        <w:rPr>
          <w:b/>
          <w:sz w:val="26"/>
        </w:rPr>
        <w:t>Revision 1.5,  November 13, 1995</w:t>
      </w:r>
    </w:p>
    <w:p w:rsidR="00712247" w:rsidRDefault="00712247">
      <w:pPr>
        <w:widowControl/>
        <w:ind w:left="360"/>
        <w:rPr>
          <w:sz w:val="22"/>
        </w:rPr>
      </w:pPr>
      <w:r>
        <w:rPr>
          <w:sz w:val="22"/>
        </w:rPr>
        <w:t xml:space="preserve">This edition reflects the following additions to the instrument vendor abbreviations table:  </w:t>
      </w:r>
      <w:r>
        <w:rPr>
          <w:sz w:val="22"/>
        </w:rPr>
        <w:br/>
        <w:t>ASCOR Incorporated and Talon Instruments.</w:t>
      </w:r>
    </w:p>
    <w:p w:rsidR="001D329D" w:rsidRDefault="001D329D">
      <w:pPr>
        <w:widowControl/>
        <w:rPr>
          <w:b/>
          <w:sz w:val="26"/>
        </w:rPr>
      </w:pPr>
    </w:p>
    <w:p w:rsidR="00712247" w:rsidRDefault="00712247">
      <w:pPr>
        <w:widowControl/>
        <w:rPr>
          <w:b/>
          <w:sz w:val="26"/>
        </w:rPr>
      </w:pPr>
      <w:r>
        <w:rPr>
          <w:b/>
          <w:sz w:val="26"/>
        </w:rPr>
        <w:t>Revision 1.6,  February 28, 1996</w:t>
      </w:r>
    </w:p>
    <w:p w:rsidR="00712247" w:rsidRDefault="00712247">
      <w:pPr>
        <w:widowControl/>
        <w:ind w:left="360"/>
        <w:rPr>
          <w:sz w:val="22"/>
        </w:rPr>
      </w:pPr>
      <w:r>
        <w:rPr>
          <w:sz w:val="22"/>
        </w:rPr>
        <w:t xml:space="preserve">This edition reflects the following additions to the instrument vendor abbreviations table:  </w:t>
      </w:r>
      <w:r>
        <w:rPr>
          <w:sz w:val="22"/>
        </w:rPr>
        <w:br/>
        <w:t>B&amp;B Technologies, Morrow Technologies, Scicom, and Teradyne.</w:t>
      </w:r>
    </w:p>
    <w:p w:rsidR="00712247" w:rsidRDefault="00712247">
      <w:pPr>
        <w:widowControl/>
        <w:ind w:left="360"/>
        <w:rPr>
          <w:sz w:val="22"/>
        </w:rPr>
      </w:pPr>
    </w:p>
    <w:p w:rsidR="00712247" w:rsidRDefault="00712247">
      <w:pPr>
        <w:widowControl/>
        <w:rPr>
          <w:b/>
          <w:sz w:val="26"/>
        </w:rPr>
      </w:pPr>
      <w:r>
        <w:rPr>
          <w:b/>
          <w:sz w:val="26"/>
        </w:rPr>
        <w:t>Revision 1.7,  March 13, 1996</w:t>
      </w:r>
    </w:p>
    <w:p w:rsidR="00712247" w:rsidRDefault="00712247">
      <w:pPr>
        <w:widowControl/>
        <w:ind w:left="360"/>
        <w:rPr>
          <w:sz w:val="22"/>
        </w:rPr>
      </w:pPr>
      <w:r>
        <w:rPr>
          <w:sz w:val="22"/>
        </w:rPr>
        <w:t xml:space="preserve">This edition reflects the following addition to the instrument vendor abbreviations table:  </w:t>
      </w:r>
      <w:r>
        <w:rPr>
          <w:sz w:val="22"/>
        </w:rPr>
        <w:br/>
        <w:t>Morrow Technologies Corporation.</w:t>
      </w:r>
    </w:p>
    <w:p w:rsidR="00712247" w:rsidRDefault="00712247">
      <w:pPr>
        <w:widowControl/>
        <w:ind w:left="360"/>
        <w:rPr>
          <w:sz w:val="22"/>
        </w:rPr>
      </w:pPr>
    </w:p>
    <w:p w:rsidR="00712247" w:rsidRDefault="00712247">
      <w:pPr>
        <w:widowControl/>
        <w:rPr>
          <w:b/>
          <w:sz w:val="26"/>
        </w:rPr>
      </w:pPr>
      <w:r>
        <w:rPr>
          <w:b/>
          <w:sz w:val="26"/>
        </w:rPr>
        <w:t>Revision 1.8,  May 15, 1996</w:t>
      </w:r>
    </w:p>
    <w:p w:rsidR="00712247" w:rsidRDefault="00712247">
      <w:pPr>
        <w:widowControl/>
        <w:ind w:left="360"/>
        <w:rPr>
          <w:sz w:val="22"/>
        </w:rPr>
      </w:pPr>
      <w:r>
        <w:rPr>
          <w:sz w:val="22"/>
        </w:rPr>
        <w:t xml:space="preserve">This edition reflects the following addition to the instrument vendor abbreviations table:  </w:t>
      </w:r>
      <w:r>
        <w:rPr>
          <w:sz w:val="22"/>
        </w:rPr>
        <w:br/>
        <w:t>VXI Technology, Inc.</w:t>
      </w:r>
    </w:p>
    <w:p w:rsidR="00712247" w:rsidRDefault="00712247">
      <w:pPr>
        <w:widowControl/>
        <w:ind w:left="360"/>
        <w:rPr>
          <w:sz w:val="22"/>
        </w:rPr>
      </w:pPr>
    </w:p>
    <w:p w:rsidR="00712247" w:rsidRDefault="00712247">
      <w:pPr>
        <w:widowControl/>
        <w:rPr>
          <w:b/>
          <w:sz w:val="26"/>
        </w:rPr>
      </w:pPr>
      <w:r>
        <w:rPr>
          <w:b/>
          <w:sz w:val="26"/>
        </w:rPr>
        <w:t>Revision 1.9,  November 5, 1996</w:t>
      </w:r>
    </w:p>
    <w:p w:rsidR="00712247" w:rsidRDefault="00712247">
      <w:pPr>
        <w:widowControl/>
        <w:ind w:left="360"/>
        <w:rPr>
          <w:sz w:val="22"/>
        </w:rPr>
      </w:pPr>
      <w:r>
        <w:rPr>
          <w:sz w:val="22"/>
        </w:rPr>
        <w:t xml:space="preserve">This edition reflects the following addition to the instrument vendor abbreviations table:  </w:t>
      </w:r>
      <w:r>
        <w:rPr>
          <w:sz w:val="22"/>
        </w:rPr>
        <w:br/>
        <w:t>Spectrum Signal Processing, Inc.</w:t>
      </w:r>
    </w:p>
    <w:p w:rsidR="00712247" w:rsidRDefault="00712247">
      <w:pPr>
        <w:widowControl/>
        <w:ind w:left="360"/>
        <w:rPr>
          <w:sz w:val="22"/>
        </w:rPr>
      </w:pPr>
    </w:p>
    <w:p w:rsidR="00712247" w:rsidRDefault="001D329D">
      <w:pPr>
        <w:widowControl/>
        <w:rPr>
          <w:b/>
          <w:sz w:val="26"/>
        </w:rPr>
      </w:pPr>
      <w:r>
        <w:rPr>
          <w:b/>
          <w:sz w:val="26"/>
        </w:rPr>
        <w:br w:type="page"/>
      </w:r>
      <w:r w:rsidR="00712247">
        <w:rPr>
          <w:b/>
          <w:sz w:val="26"/>
        </w:rPr>
        <w:lastRenderedPageBreak/>
        <w:t>Revision 1.10,  November 26, 1996</w:t>
      </w:r>
    </w:p>
    <w:p w:rsidR="00712247" w:rsidRDefault="00712247">
      <w:pPr>
        <w:widowControl/>
        <w:ind w:left="360"/>
        <w:rPr>
          <w:sz w:val="22"/>
        </w:rPr>
      </w:pPr>
      <w:r>
        <w:rPr>
          <w:sz w:val="22"/>
        </w:rPr>
        <w:t xml:space="preserve">This edition reflects the following addition to the instrument vendor abbreviations table:  </w:t>
      </w:r>
      <w:r>
        <w:rPr>
          <w:sz w:val="22"/>
        </w:rPr>
        <w:br/>
        <w:t>Marconi Instruments.</w:t>
      </w:r>
    </w:p>
    <w:p w:rsidR="00712247" w:rsidRDefault="00712247">
      <w:pPr>
        <w:widowControl/>
        <w:ind w:left="360"/>
        <w:rPr>
          <w:sz w:val="22"/>
        </w:rPr>
      </w:pPr>
    </w:p>
    <w:p w:rsidR="00712247" w:rsidRDefault="00712247">
      <w:pPr>
        <w:widowControl/>
        <w:rPr>
          <w:b/>
          <w:sz w:val="26"/>
        </w:rPr>
      </w:pPr>
      <w:r>
        <w:rPr>
          <w:b/>
          <w:sz w:val="26"/>
        </w:rPr>
        <w:t>Revision 2.0,  December 4, 1998</w:t>
      </w:r>
    </w:p>
    <w:p w:rsidR="00712247" w:rsidRDefault="00712247">
      <w:pPr>
        <w:widowControl/>
        <w:ind w:left="360"/>
        <w:rPr>
          <w:sz w:val="22"/>
        </w:rPr>
      </w:pPr>
      <w:r>
        <w:rPr>
          <w:sz w:val="22"/>
        </w:rPr>
        <w:t xml:space="preserve">This edition reflects the following addition to the instrument vendor abbreviations table:  </w:t>
      </w:r>
      <w:r>
        <w:rPr>
          <w:sz w:val="22"/>
        </w:rPr>
        <w:br/>
        <w:t xml:space="preserve">IFR. The information regarding contacting the </w:t>
      </w:r>
      <w:smartTag w:uri="urn:schemas-microsoft-com:office:smarttags" w:element="place">
        <w:smartTag w:uri="urn:schemas-microsoft-com:office:smarttags" w:element="City">
          <w:r>
            <w:rPr>
              <w:sz w:val="22"/>
            </w:rPr>
            <w:t>Alliance</w:t>
          </w:r>
        </w:smartTag>
      </w:smartTag>
      <w:r>
        <w:rPr>
          <w:sz w:val="22"/>
        </w:rPr>
        <w:t xml:space="preserve"> was also updated. References to the VPP-5 Component Knowledge Base specification, which was obsoleted by the alliance, were removed.</w:t>
      </w:r>
    </w:p>
    <w:p w:rsidR="00712247" w:rsidRDefault="00712247">
      <w:pPr>
        <w:widowControl/>
        <w:ind w:left="360"/>
        <w:rPr>
          <w:sz w:val="22"/>
        </w:rPr>
      </w:pPr>
    </w:p>
    <w:p w:rsidR="00712247" w:rsidRDefault="00712247">
      <w:pPr>
        <w:widowControl/>
        <w:rPr>
          <w:b/>
          <w:sz w:val="26"/>
        </w:rPr>
      </w:pPr>
      <w:r>
        <w:rPr>
          <w:b/>
          <w:sz w:val="26"/>
        </w:rPr>
        <w:t>Revision 2.1,  May 20, 1999</w:t>
      </w:r>
    </w:p>
    <w:p w:rsidR="00712247" w:rsidRDefault="00712247">
      <w:pPr>
        <w:widowControl/>
        <w:ind w:left="360"/>
        <w:rPr>
          <w:sz w:val="22"/>
        </w:rPr>
      </w:pPr>
      <w:r>
        <w:rPr>
          <w:sz w:val="22"/>
        </w:rPr>
        <w:t xml:space="preserve">This edition reflects the following additions to the instrument vendor abbreviations table:  </w:t>
      </w:r>
      <w:r>
        <w:rPr>
          <w:sz w:val="22"/>
        </w:rPr>
        <w:br/>
        <w:t>AIM GmbH, Pickering Interfaces, and Serendipity Systems, Inc. Some minor changes were made to fix an incorrect alphabetization and a double entry in the instrument vendor abbreviations table.</w:t>
      </w:r>
    </w:p>
    <w:p w:rsidR="00712247" w:rsidRDefault="00712247">
      <w:pPr>
        <w:widowControl/>
        <w:ind w:left="360"/>
        <w:rPr>
          <w:sz w:val="22"/>
        </w:rPr>
      </w:pPr>
    </w:p>
    <w:p w:rsidR="00712247" w:rsidRDefault="00712247">
      <w:pPr>
        <w:widowControl/>
        <w:rPr>
          <w:b/>
          <w:sz w:val="26"/>
        </w:rPr>
      </w:pPr>
      <w:r>
        <w:rPr>
          <w:b/>
          <w:sz w:val="26"/>
        </w:rPr>
        <w:t>Revision 2.2,  July 13, 1999</w:t>
      </w:r>
    </w:p>
    <w:p w:rsidR="00712247" w:rsidRDefault="00712247">
      <w:pPr>
        <w:widowControl/>
        <w:ind w:left="360"/>
        <w:rPr>
          <w:sz w:val="22"/>
        </w:rPr>
      </w:pPr>
      <w:r>
        <w:rPr>
          <w:sz w:val="22"/>
        </w:rPr>
        <w:t xml:space="preserve">This edition reflects the following additions to the instrument vendor abbreviations table:  </w:t>
      </w:r>
      <w:r>
        <w:rPr>
          <w:sz w:val="22"/>
        </w:rPr>
        <w:br/>
        <w:t xml:space="preserve">Ando Electronics added. </w:t>
      </w:r>
    </w:p>
    <w:p w:rsidR="00712247" w:rsidRDefault="00712247">
      <w:pPr>
        <w:widowControl/>
        <w:ind w:left="360"/>
        <w:rPr>
          <w:sz w:val="22"/>
        </w:rPr>
      </w:pPr>
    </w:p>
    <w:p w:rsidR="00712247" w:rsidRDefault="00712247">
      <w:pPr>
        <w:widowControl/>
        <w:rPr>
          <w:b/>
          <w:sz w:val="26"/>
        </w:rPr>
      </w:pPr>
      <w:r>
        <w:rPr>
          <w:b/>
          <w:sz w:val="26"/>
        </w:rPr>
        <w:t>Revision 2.3,  July 19, 1999</w:t>
      </w:r>
    </w:p>
    <w:p w:rsidR="00712247" w:rsidRDefault="00712247">
      <w:pPr>
        <w:spacing w:line="240" w:lineRule="atLeast"/>
        <w:ind w:left="360"/>
        <w:rPr>
          <w:rFonts w:ascii="Helv" w:hAnsi="Helv"/>
          <w:snapToGrid w:val="0"/>
          <w:color w:val="000000"/>
        </w:rPr>
      </w:pPr>
      <w:r>
        <w:rPr>
          <w:sz w:val="22"/>
        </w:rPr>
        <w:t xml:space="preserve">This edition reflects the following additions to the instrument vendor abbreviations table:  </w:t>
      </w:r>
      <w:r>
        <w:rPr>
          <w:sz w:val="22"/>
        </w:rPr>
        <w:br/>
      </w:r>
      <w:r>
        <w:rPr>
          <w:snapToGrid w:val="0"/>
          <w:color w:val="000000"/>
          <w:sz w:val="22"/>
        </w:rPr>
        <w:t>Changed Ando Electronics to Ando Electric Company Limited, the correct company name.</w:t>
      </w:r>
    </w:p>
    <w:p w:rsidR="00712247" w:rsidRDefault="00712247">
      <w:pPr>
        <w:widowControl/>
        <w:ind w:left="360"/>
        <w:rPr>
          <w:sz w:val="22"/>
        </w:rPr>
      </w:pPr>
    </w:p>
    <w:p w:rsidR="00712247" w:rsidRDefault="00712247">
      <w:pPr>
        <w:widowControl/>
        <w:rPr>
          <w:b/>
          <w:sz w:val="26"/>
        </w:rPr>
      </w:pPr>
      <w:r>
        <w:rPr>
          <w:b/>
          <w:sz w:val="26"/>
        </w:rPr>
        <w:t>Revision 2.4,  August 3, 1999</w:t>
      </w:r>
    </w:p>
    <w:p w:rsidR="00712247" w:rsidRDefault="00712247">
      <w:pPr>
        <w:widowControl/>
        <w:ind w:left="360"/>
        <w:rPr>
          <w:sz w:val="22"/>
        </w:rPr>
      </w:pPr>
      <w:r>
        <w:rPr>
          <w:sz w:val="22"/>
        </w:rPr>
        <w:t xml:space="preserve">This edition reflects the following additions to the instrument vendor abbreviations table:  </w:t>
      </w:r>
    </w:p>
    <w:p w:rsidR="00712247" w:rsidRDefault="00712247">
      <w:pPr>
        <w:widowControl/>
        <w:ind w:left="360"/>
        <w:rPr>
          <w:sz w:val="22"/>
        </w:rPr>
      </w:pPr>
      <w:r>
        <w:rPr>
          <w:sz w:val="22"/>
        </w:rPr>
        <w:t>Agilent Technologies added.</w:t>
      </w:r>
      <w:r>
        <w:rPr>
          <w:sz w:val="22"/>
        </w:rPr>
        <w:br/>
      </w:r>
    </w:p>
    <w:p w:rsidR="00712247" w:rsidRDefault="00712247">
      <w:pPr>
        <w:widowControl/>
        <w:rPr>
          <w:b/>
          <w:sz w:val="26"/>
        </w:rPr>
      </w:pPr>
      <w:r>
        <w:rPr>
          <w:b/>
          <w:sz w:val="26"/>
        </w:rPr>
        <w:t>Revision 2.5,  August 24, 1999</w:t>
      </w:r>
    </w:p>
    <w:p w:rsidR="00712247" w:rsidRDefault="00712247">
      <w:pPr>
        <w:widowControl/>
        <w:ind w:left="360"/>
        <w:rPr>
          <w:sz w:val="22"/>
        </w:rPr>
      </w:pPr>
      <w:r>
        <w:rPr>
          <w:sz w:val="22"/>
        </w:rPr>
        <w:t xml:space="preserve">This edition reflects the following change and additions to the instrument vendor abbreviations table:  </w:t>
      </w:r>
    </w:p>
    <w:p w:rsidR="00712247" w:rsidRDefault="00712247">
      <w:pPr>
        <w:widowControl/>
        <w:ind w:left="360"/>
        <w:rPr>
          <w:sz w:val="22"/>
        </w:rPr>
      </w:pPr>
      <w:r>
        <w:rPr>
          <w:sz w:val="22"/>
        </w:rPr>
        <w:t>Agilent Technologies identifier changed from AT to AG. gnubi communications, Inc. (sic) added.</w:t>
      </w:r>
    </w:p>
    <w:p w:rsidR="00712247" w:rsidRDefault="00712247">
      <w:pPr>
        <w:widowControl/>
        <w:ind w:left="360"/>
        <w:rPr>
          <w:sz w:val="22"/>
        </w:rPr>
      </w:pPr>
    </w:p>
    <w:p w:rsidR="00712247" w:rsidRDefault="00712247">
      <w:pPr>
        <w:widowControl/>
        <w:ind w:left="360"/>
        <w:rPr>
          <w:sz w:val="22"/>
        </w:rPr>
      </w:pPr>
    </w:p>
    <w:p w:rsidR="00712247" w:rsidRDefault="00712247">
      <w:pPr>
        <w:widowControl/>
        <w:rPr>
          <w:b/>
          <w:sz w:val="26"/>
        </w:rPr>
      </w:pPr>
      <w:r>
        <w:rPr>
          <w:b/>
          <w:sz w:val="26"/>
        </w:rPr>
        <w:t>Revision 2.6,  October 27, 1999</w:t>
      </w:r>
    </w:p>
    <w:p w:rsidR="00712247" w:rsidRDefault="00712247">
      <w:pPr>
        <w:widowControl/>
        <w:ind w:left="360"/>
        <w:rPr>
          <w:sz w:val="22"/>
        </w:rPr>
      </w:pPr>
      <w:r>
        <w:rPr>
          <w:sz w:val="22"/>
        </w:rPr>
        <w:t xml:space="preserve">This edition reflects the following additions to the instrument vendor abbreviations table:  </w:t>
      </w:r>
    </w:p>
    <w:p w:rsidR="00712247" w:rsidRDefault="00712247">
      <w:pPr>
        <w:widowControl/>
        <w:ind w:left="360"/>
        <w:rPr>
          <w:sz w:val="22"/>
        </w:rPr>
      </w:pPr>
      <w:r>
        <w:rPr>
          <w:sz w:val="22"/>
        </w:rPr>
        <w:t>Bustec Production Ltd. identifier added.</w:t>
      </w:r>
    </w:p>
    <w:p w:rsidR="00712247" w:rsidRDefault="00712247">
      <w:pPr>
        <w:widowControl/>
        <w:ind w:left="360"/>
        <w:rPr>
          <w:sz w:val="22"/>
        </w:rPr>
      </w:pPr>
    </w:p>
    <w:p w:rsidR="00712247" w:rsidRDefault="00712247">
      <w:pPr>
        <w:widowControl/>
        <w:rPr>
          <w:b/>
          <w:sz w:val="26"/>
        </w:rPr>
      </w:pPr>
      <w:r>
        <w:rPr>
          <w:b/>
          <w:sz w:val="26"/>
        </w:rPr>
        <w:t>Revision 2.7,  December 10, 1999</w:t>
      </w:r>
    </w:p>
    <w:p w:rsidR="00712247" w:rsidRDefault="00712247">
      <w:pPr>
        <w:widowControl/>
        <w:ind w:left="360"/>
        <w:rPr>
          <w:sz w:val="22"/>
        </w:rPr>
      </w:pPr>
      <w:r>
        <w:rPr>
          <w:sz w:val="22"/>
        </w:rPr>
        <w:t xml:space="preserve">This edition reflects the following additions to the instrument vendor abbreviations table:  </w:t>
      </w:r>
    </w:p>
    <w:p w:rsidR="00712247" w:rsidRDefault="00712247">
      <w:pPr>
        <w:widowControl/>
        <w:ind w:left="360"/>
        <w:rPr>
          <w:sz w:val="22"/>
        </w:rPr>
      </w:pPr>
      <w:r>
        <w:rPr>
          <w:sz w:val="22"/>
        </w:rPr>
        <w:t>Fluke Corporation and Rohde &amp; Schwarz GmbH. identifiers added.</w:t>
      </w:r>
    </w:p>
    <w:p w:rsidR="00712247" w:rsidRDefault="00712247">
      <w:pPr>
        <w:widowControl/>
        <w:ind w:left="360"/>
        <w:rPr>
          <w:sz w:val="22"/>
        </w:rPr>
      </w:pPr>
    </w:p>
    <w:p w:rsidR="00712247" w:rsidRDefault="00712247">
      <w:pPr>
        <w:widowControl/>
        <w:rPr>
          <w:b/>
          <w:sz w:val="26"/>
        </w:rPr>
      </w:pPr>
      <w:r>
        <w:rPr>
          <w:b/>
          <w:sz w:val="26"/>
        </w:rPr>
        <w:t>Revision 2.8,  January 7, 2000</w:t>
      </w:r>
    </w:p>
    <w:p w:rsidR="00712247" w:rsidRDefault="00712247">
      <w:pPr>
        <w:widowControl/>
        <w:ind w:left="360"/>
        <w:rPr>
          <w:sz w:val="22"/>
        </w:rPr>
      </w:pPr>
      <w:r>
        <w:rPr>
          <w:sz w:val="22"/>
        </w:rPr>
        <w:t xml:space="preserve">This edition reflects the following additions to the instrument vendor abbreviations table:  </w:t>
      </w:r>
    </w:p>
    <w:p w:rsidR="00712247" w:rsidRDefault="00712247">
      <w:pPr>
        <w:widowControl/>
        <w:ind w:left="360"/>
        <w:rPr>
          <w:sz w:val="22"/>
        </w:rPr>
      </w:pPr>
      <w:r>
        <w:rPr>
          <w:sz w:val="22"/>
        </w:rPr>
        <w:t>Yokogawa Electric Corp., Directed Perceptions Inc., Audio Precision Inc., and Neutrik AG identifiers added.</w:t>
      </w:r>
    </w:p>
    <w:p w:rsidR="00712247" w:rsidRDefault="00712247">
      <w:pPr>
        <w:widowControl/>
        <w:ind w:left="360"/>
        <w:rPr>
          <w:sz w:val="22"/>
        </w:rPr>
      </w:pPr>
    </w:p>
    <w:p w:rsidR="00712247" w:rsidRDefault="00712247">
      <w:pPr>
        <w:widowControl/>
        <w:rPr>
          <w:b/>
          <w:sz w:val="26"/>
        </w:rPr>
      </w:pPr>
      <w:r>
        <w:rPr>
          <w:b/>
          <w:sz w:val="26"/>
        </w:rPr>
        <w:t>Revision 2.9,  May 12, 2000</w:t>
      </w:r>
    </w:p>
    <w:p w:rsidR="00712247" w:rsidRDefault="00712247">
      <w:pPr>
        <w:widowControl/>
        <w:ind w:left="360"/>
        <w:rPr>
          <w:sz w:val="22"/>
        </w:rPr>
      </w:pPr>
      <w:r>
        <w:rPr>
          <w:sz w:val="22"/>
        </w:rPr>
        <w:t xml:space="preserve">This edition reflects the following additions to the instrument vendor abbreviations table:  </w:t>
      </w:r>
    </w:p>
    <w:p w:rsidR="00712247" w:rsidRDefault="00712247">
      <w:pPr>
        <w:widowControl/>
        <w:ind w:left="360"/>
        <w:rPr>
          <w:sz w:val="28"/>
        </w:rPr>
      </w:pPr>
      <w:r>
        <w:rPr>
          <w:sz w:val="22"/>
        </w:rPr>
        <w:t>Advantest Corporation.</w:t>
      </w:r>
    </w:p>
    <w:p w:rsidR="00712247" w:rsidRDefault="00712247">
      <w:pPr>
        <w:widowControl/>
        <w:ind w:left="360"/>
        <w:rPr>
          <w:sz w:val="28"/>
        </w:rPr>
      </w:pPr>
    </w:p>
    <w:p w:rsidR="00712247" w:rsidRDefault="00712247">
      <w:pPr>
        <w:widowControl/>
        <w:rPr>
          <w:b/>
          <w:sz w:val="26"/>
        </w:rPr>
      </w:pPr>
      <w:r>
        <w:rPr>
          <w:b/>
          <w:sz w:val="26"/>
        </w:rPr>
        <w:lastRenderedPageBreak/>
        <w:t>Revision 3.0, June 1, 2000</w:t>
      </w:r>
    </w:p>
    <w:p w:rsidR="00712247" w:rsidRDefault="00712247">
      <w:pPr>
        <w:widowControl/>
        <w:ind w:left="360"/>
        <w:rPr>
          <w:sz w:val="22"/>
        </w:rPr>
      </w:pPr>
      <w:r>
        <w:rPr>
          <w:sz w:val="22"/>
        </w:rPr>
        <w:t xml:space="preserve">This edition reflects the following additions to the instrument vendor abbreviations table:  </w:t>
      </w:r>
    </w:p>
    <w:p w:rsidR="00712247" w:rsidRDefault="00712247">
      <w:pPr>
        <w:widowControl/>
        <w:ind w:left="360"/>
        <w:rPr>
          <w:sz w:val="22"/>
        </w:rPr>
      </w:pPr>
      <w:r>
        <w:rPr>
          <w:sz w:val="22"/>
        </w:rPr>
        <w:t>Kikusui Inc. and AOIP Instrumentation identifiers added.</w:t>
      </w:r>
    </w:p>
    <w:p w:rsidR="00712247" w:rsidRDefault="00712247">
      <w:pPr>
        <w:widowControl/>
        <w:ind w:left="360"/>
        <w:rPr>
          <w:sz w:val="22"/>
        </w:rPr>
      </w:pPr>
    </w:p>
    <w:p w:rsidR="00712247" w:rsidRDefault="00712247">
      <w:pPr>
        <w:widowControl/>
        <w:rPr>
          <w:b/>
          <w:sz w:val="26"/>
        </w:rPr>
      </w:pPr>
      <w:r>
        <w:rPr>
          <w:b/>
          <w:sz w:val="26"/>
        </w:rPr>
        <w:t>Revision 3.1, June 23, 2000</w:t>
      </w:r>
    </w:p>
    <w:p w:rsidR="00712247" w:rsidRDefault="00712247">
      <w:pPr>
        <w:widowControl/>
        <w:ind w:left="360"/>
        <w:rPr>
          <w:sz w:val="22"/>
        </w:rPr>
      </w:pPr>
      <w:r>
        <w:rPr>
          <w:sz w:val="22"/>
        </w:rPr>
        <w:t xml:space="preserve">This edition reflects the following additions to the instrument vendor abbreviations table:  </w:t>
      </w:r>
    </w:p>
    <w:p w:rsidR="00712247" w:rsidRDefault="00712247">
      <w:pPr>
        <w:widowControl/>
        <w:ind w:left="360"/>
        <w:rPr>
          <w:sz w:val="22"/>
        </w:rPr>
      </w:pPr>
      <w:r>
        <w:rPr>
          <w:sz w:val="22"/>
        </w:rPr>
        <w:t>Acquiris identifier added.</w:t>
      </w:r>
    </w:p>
    <w:p w:rsidR="00712247" w:rsidRDefault="00712247">
      <w:pPr>
        <w:widowControl/>
        <w:ind w:left="360"/>
        <w:rPr>
          <w:sz w:val="22"/>
        </w:rPr>
      </w:pPr>
    </w:p>
    <w:p w:rsidR="00712247" w:rsidRDefault="00712247">
      <w:pPr>
        <w:widowControl/>
        <w:rPr>
          <w:b/>
          <w:sz w:val="26"/>
        </w:rPr>
      </w:pPr>
      <w:r>
        <w:rPr>
          <w:b/>
          <w:sz w:val="26"/>
        </w:rPr>
        <w:t>Revision 3.2, August 4, 2000</w:t>
      </w:r>
    </w:p>
    <w:p w:rsidR="00712247" w:rsidRDefault="00712247">
      <w:pPr>
        <w:widowControl/>
        <w:ind w:left="360"/>
        <w:rPr>
          <w:sz w:val="22"/>
        </w:rPr>
      </w:pPr>
      <w:r>
        <w:rPr>
          <w:sz w:val="22"/>
        </w:rPr>
        <w:t xml:space="preserve">This edition reflects the following additions to the instrument vendor abbreviations table:  </w:t>
      </w:r>
    </w:p>
    <w:p w:rsidR="00712247" w:rsidRDefault="00712247">
      <w:pPr>
        <w:widowControl/>
        <w:ind w:left="360"/>
        <w:rPr>
          <w:sz w:val="22"/>
        </w:rPr>
      </w:pPr>
      <w:r>
        <w:rPr>
          <w:sz w:val="22"/>
        </w:rPr>
        <w:t>Microscan identifier added.</w:t>
      </w:r>
    </w:p>
    <w:p w:rsidR="00712247" w:rsidRDefault="00712247">
      <w:pPr>
        <w:widowControl/>
        <w:ind w:left="360"/>
        <w:rPr>
          <w:sz w:val="22"/>
        </w:rPr>
      </w:pPr>
    </w:p>
    <w:p w:rsidR="00712247" w:rsidRDefault="00712247">
      <w:pPr>
        <w:widowControl/>
        <w:rPr>
          <w:b/>
          <w:sz w:val="26"/>
        </w:rPr>
      </w:pPr>
      <w:r>
        <w:rPr>
          <w:b/>
          <w:sz w:val="26"/>
        </w:rPr>
        <w:t>Revision 3.3, December 7, 2000</w:t>
      </w:r>
    </w:p>
    <w:p w:rsidR="00712247" w:rsidRDefault="00712247">
      <w:pPr>
        <w:widowControl/>
        <w:ind w:left="360"/>
        <w:rPr>
          <w:sz w:val="22"/>
        </w:rPr>
      </w:pPr>
      <w:r>
        <w:rPr>
          <w:sz w:val="22"/>
        </w:rPr>
        <w:t xml:space="preserve">This edition reflects the following additions to the instrument vendor abbreviations table:  </w:t>
      </w:r>
    </w:p>
    <w:p w:rsidR="00712247" w:rsidRDefault="00712247">
      <w:pPr>
        <w:widowControl/>
        <w:ind w:left="360"/>
        <w:rPr>
          <w:sz w:val="22"/>
        </w:rPr>
      </w:pPr>
      <w:r>
        <w:rPr>
          <w:sz w:val="22"/>
        </w:rPr>
        <w:t>Anritsu Company and Keithley Instruments identifiers added.</w:t>
      </w:r>
    </w:p>
    <w:p w:rsidR="00712247" w:rsidRDefault="00712247">
      <w:pPr>
        <w:widowControl/>
        <w:ind w:left="360"/>
        <w:rPr>
          <w:sz w:val="22"/>
        </w:rPr>
      </w:pPr>
    </w:p>
    <w:p w:rsidR="00712247" w:rsidRDefault="00712247">
      <w:pPr>
        <w:widowControl/>
        <w:rPr>
          <w:b/>
          <w:sz w:val="26"/>
        </w:rPr>
      </w:pPr>
      <w:r>
        <w:rPr>
          <w:b/>
          <w:sz w:val="26"/>
        </w:rPr>
        <w:t>Revision 3.4, December 12 , 2000</w:t>
      </w:r>
    </w:p>
    <w:p w:rsidR="00712247" w:rsidRDefault="00712247">
      <w:pPr>
        <w:widowControl/>
        <w:ind w:left="360"/>
        <w:rPr>
          <w:sz w:val="22"/>
        </w:rPr>
      </w:pPr>
      <w:r>
        <w:rPr>
          <w:sz w:val="22"/>
        </w:rPr>
        <w:t xml:space="preserve">This edition reflects the following additions to the instrument vendor abbreviations table:  </w:t>
      </w:r>
    </w:p>
    <w:p w:rsidR="00712247" w:rsidRDefault="00712247">
      <w:pPr>
        <w:widowControl/>
        <w:ind w:left="360"/>
        <w:rPr>
          <w:sz w:val="28"/>
        </w:rPr>
      </w:pPr>
      <w:r>
        <w:rPr>
          <w:sz w:val="22"/>
        </w:rPr>
        <w:t>BAE Systems identifier added.</w:t>
      </w:r>
    </w:p>
    <w:p w:rsidR="00712247" w:rsidRDefault="00712247">
      <w:pPr>
        <w:widowControl/>
        <w:ind w:left="360"/>
        <w:rPr>
          <w:sz w:val="28"/>
        </w:rPr>
      </w:pPr>
    </w:p>
    <w:p w:rsidR="00712247" w:rsidRDefault="00712247">
      <w:pPr>
        <w:widowControl/>
        <w:rPr>
          <w:b/>
          <w:sz w:val="26"/>
        </w:rPr>
      </w:pPr>
      <w:r>
        <w:rPr>
          <w:b/>
          <w:sz w:val="26"/>
        </w:rPr>
        <w:t>Revision 3.5, December 6, 2001</w:t>
      </w:r>
    </w:p>
    <w:p w:rsidR="00712247" w:rsidRDefault="00712247">
      <w:pPr>
        <w:widowControl/>
        <w:ind w:left="360"/>
        <w:rPr>
          <w:sz w:val="22"/>
        </w:rPr>
      </w:pPr>
      <w:r>
        <w:rPr>
          <w:sz w:val="22"/>
        </w:rPr>
        <w:t xml:space="preserve">This edition reflects the following additions to the instrument vendor abbreviations table:  </w:t>
      </w:r>
    </w:p>
    <w:p w:rsidR="00712247" w:rsidRDefault="00712247">
      <w:pPr>
        <w:widowControl/>
        <w:ind w:left="360"/>
        <w:rPr>
          <w:sz w:val="28"/>
        </w:rPr>
      </w:pPr>
      <w:r>
        <w:rPr>
          <w:sz w:val="22"/>
        </w:rPr>
        <w:t>Bruel &amp; Kjaer identifier added.</w:t>
      </w:r>
    </w:p>
    <w:p w:rsidR="00712247" w:rsidRDefault="00712247">
      <w:pPr>
        <w:widowControl/>
        <w:ind w:left="360"/>
        <w:rPr>
          <w:sz w:val="28"/>
        </w:rPr>
      </w:pPr>
    </w:p>
    <w:p w:rsidR="00712247" w:rsidRDefault="00712247">
      <w:pPr>
        <w:widowControl/>
        <w:rPr>
          <w:b/>
          <w:sz w:val="26"/>
        </w:rPr>
      </w:pPr>
      <w:r>
        <w:rPr>
          <w:b/>
          <w:sz w:val="26"/>
        </w:rPr>
        <w:t>Revision 3.6, May 13, 2002</w:t>
      </w:r>
    </w:p>
    <w:p w:rsidR="00712247" w:rsidRDefault="00712247">
      <w:pPr>
        <w:widowControl/>
        <w:ind w:left="360"/>
        <w:rPr>
          <w:sz w:val="22"/>
        </w:rPr>
      </w:pPr>
      <w:r>
        <w:rPr>
          <w:sz w:val="22"/>
        </w:rPr>
        <w:t xml:space="preserve">This edition reflects the following additions to the instrument vendor abbreviations table:  </w:t>
      </w:r>
    </w:p>
    <w:p w:rsidR="00712247" w:rsidRDefault="00712247">
      <w:pPr>
        <w:widowControl/>
        <w:ind w:left="360"/>
        <w:rPr>
          <w:sz w:val="22"/>
        </w:rPr>
      </w:pPr>
      <w:r>
        <w:rPr>
          <w:sz w:val="22"/>
        </w:rPr>
        <w:t>Aeroflex Laboratories identifier added.</w:t>
      </w:r>
    </w:p>
    <w:p w:rsidR="001D329D" w:rsidRDefault="001D329D">
      <w:pPr>
        <w:widowControl/>
        <w:ind w:left="360"/>
        <w:rPr>
          <w:sz w:val="22"/>
        </w:rPr>
      </w:pPr>
    </w:p>
    <w:p w:rsidR="001D329D" w:rsidRDefault="004B152E" w:rsidP="001D329D">
      <w:pPr>
        <w:rPr>
          <w:b/>
          <w:sz w:val="28"/>
        </w:rPr>
      </w:pPr>
      <w:r>
        <w:rPr>
          <w:b/>
          <w:sz w:val="28"/>
        </w:rPr>
        <w:t xml:space="preserve">Revision 3.7, </w:t>
      </w:r>
      <w:r w:rsidR="000E4F82">
        <w:rPr>
          <w:b/>
          <w:sz w:val="28"/>
        </w:rPr>
        <w:t>February 14, 2008</w:t>
      </w:r>
    </w:p>
    <w:p w:rsidR="001D329D" w:rsidRDefault="001D329D" w:rsidP="001D329D">
      <w:pPr>
        <w:ind w:left="360"/>
        <w:rPr>
          <w:sz w:val="22"/>
          <w:szCs w:val="22"/>
        </w:rPr>
      </w:pPr>
      <w:r w:rsidRPr="000A212D">
        <w:rPr>
          <w:sz w:val="22"/>
          <w:szCs w:val="22"/>
        </w:rPr>
        <w:t>Updated the introduction to reflect the IVI Foundation organization changes.  Replace</w:t>
      </w:r>
      <w:r w:rsidR="000A212D">
        <w:rPr>
          <w:sz w:val="22"/>
          <w:szCs w:val="22"/>
        </w:rPr>
        <w:t>d</w:t>
      </w:r>
      <w:r w:rsidRPr="000A212D">
        <w:rPr>
          <w:sz w:val="22"/>
          <w:szCs w:val="22"/>
        </w:rPr>
        <w:t xml:space="preserve"> Notice with text used by IVI Foundation specifications.  </w:t>
      </w:r>
    </w:p>
    <w:p w:rsidR="00841E5B" w:rsidRPr="000A212D" w:rsidRDefault="00841E5B" w:rsidP="001D329D">
      <w:pPr>
        <w:ind w:left="360"/>
        <w:rPr>
          <w:sz w:val="22"/>
          <w:szCs w:val="22"/>
        </w:rPr>
      </w:pPr>
    </w:p>
    <w:p w:rsidR="00841E5B" w:rsidRDefault="00841E5B" w:rsidP="00841E5B">
      <w:pPr>
        <w:rPr>
          <w:b/>
          <w:sz w:val="28"/>
        </w:rPr>
      </w:pPr>
      <w:r>
        <w:rPr>
          <w:b/>
          <w:sz w:val="28"/>
        </w:rPr>
        <w:t>Revision 3.7, April 14, 2008</w:t>
      </w:r>
    </w:p>
    <w:p w:rsidR="00841E5B" w:rsidRDefault="00841E5B" w:rsidP="00841E5B">
      <w:pPr>
        <w:ind w:left="360"/>
      </w:pPr>
      <w:r w:rsidRPr="00C131A4">
        <w:t>Editorial change to update the IVI Foundation contact information in the Important Information section to remove obsolete address information and refer only</w:t>
      </w:r>
      <w:r>
        <w:t xml:space="preserve"> to the IVI Foundation web site.</w:t>
      </w:r>
    </w:p>
    <w:p w:rsidR="005927E9" w:rsidRDefault="005927E9" w:rsidP="005927E9">
      <w:pPr>
        <w:rPr>
          <w:b/>
          <w:sz w:val="28"/>
        </w:rPr>
      </w:pPr>
    </w:p>
    <w:p w:rsidR="005927E9" w:rsidRDefault="005927E9" w:rsidP="005927E9">
      <w:pPr>
        <w:rPr>
          <w:b/>
          <w:sz w:val="28"/>
        </w:rPr>
      </w:pPr>
      <w:r>
        <w:rPr>
          <w:b/>
          <w:sz w:val="28"/>
        </w:rPr>
        <w:t>Revision 3.8, October 2, 2008</w:t>
      </w:r>
    </w:p>
    <w:p w:rsidR="005927E9" w:rsidRDefault="005927E9" w:rsidP="005927E9">
      <w:pPr>
        <w:widowControl/>
        <w:ind w:left="360"/>
        <w:rPr>
          <w:sz w:val="22"/>
        </w:rPr>
      </w:pPr>
      <w:r>
        <w:rPr>
          <w:sz w:val="22"/>
        </w:rPr>
        <w:t xml:space="preserve">This edition reflects the following additions to the instrument vendor abbreviations table:  </w:t>
      </w:r>
    </w:p>
    <w:p w:rsidR="005927E9" w:rsidRDefault="005927E9" w:rsidP="005927E9">
      <w:pPr>
        <w:widowControl/>
        <w:ind w:left="360"/>
        <w:rPr>
          <w:sz w:val="28"/>
        </w:rPr>
      </w:pPr>
      <w:r>
        <w:rPr>
          <w:sz w:val="22"/>
        </w:rPr>
        <w:t>Pacific Mindworks identifier added.</w:t>
      </w:r>
    </w:p>
    <w:p w:rsidR="005927E9" w:rsidRDefault="005927E9" w:rsidP="00841E5B">
      <w:pPr>
        <w:ind w:left="360"/>
      </w:pPr>
    </w:p>
    <w:p w:rsidR="00332043" w:rsidRDefault="00332043" w:rsidP="00332043">
      <w:pPr>
        <w:rPr>
          <w:b/>
          <w:sz w:val="28"/>
        </w:rPr>
      </w:pPr>
      <w:r>
        <w:rPr>
          <w:b/>
          <w:sz w:val="28"/>
        </w:rPr>
        <w:t>Revision 3.9, November 3, 2008</w:t>
      </w:r>
    </w:p>
    <w:p w:rsidR="00332043" w:rsidRDefault="00332043" w:rsidP="00332043">
      <w:pPr>
        <w:widowControl/>
        <w:ind w:left="360"/>
        <w:rPr>
          <w:sz w:val="22"/>
        </w:rPr>
      </w:pPr>
      <w:r>
        <w:rPr>
          <w:sz w:val="22"/>
        </w:rPr>
        <w:t xml:space="preserve">This edition reflects the following additions to the instrument vendor abbreviations table:  </w:t>
      </w:r>
    </w:p>
    <w:p w:rsidR="00332043" w:rsidRDefault="00332043" w:rsidP="00332043">
      <w:pPr>
        <w:widowControl/>
        <w:ind w:left="360"/>
        <w:rPr>
          <w:sz w:val="22"/>
        </w:rPr>
      </w:pPr>
      <w:r w:rsidRPr="00332043">
        <w:t>Test &amp; Measurement Systems Inc.</w:t>
      </w:r>
      <w:r>
        <w:rPr>
          <w:rFonts w:ascii="Courier New" w:hAnsi="Courier New" w:cs="Courier New"/>
          <w:sz w:val="20"/>
        </w:rPr>
        <w:t xml:space="preserve"> </w:t>
      </w:r>
      <w:r>
        <w:rPr>
          <w:sz w:val="22"/>
        </w:rPr>
        <w:t>identifier added.</w:t>
      </w:r>
    </w:p>
    <w:p w:rsidR="00892D34" w:rsidRDefault="00892D34" w:rsidP="00892D34">
      <w:pPr>
        <w:rPr>
          <w:b/>
          <w:sz w:val="28"/>
        </w:rPr>
      </w:pPr>
    </w:p>
    <w:p w:rsidR="00892D34" w:rsidRDefault="00892D34" w:rsidP="00892D34">
      <w:pPr>
        <w:rPr>
          <w:b/>
          <w:sz w:val="28"/>
        </w:rPr>
      </w:pPr>
    </w:p>
    <w:p w:rsidR="00892D34" w:rsidRDefault="00892D34" w:rsidP="00892D34">
      <w:pPr>
        <w:rPr>
          <w:b/>
          <w:sz w:val="28"/>
        </w:rPr>
      </w:pPr>
      <w:r>
        <w:rPr>
          <w:b/>
          <w:sz w:val="28"/>
        </w:rPr>
        <w:lastRenderedPageBreak/>
        <w:t>Revision 4.0, December 12, 2008</w:t>
      </w:r>
    </w:p>
    <w:p w:rsidR="00892D34" w:rsidRDefault="00892D34" w:rsidP="00892D34">
      <w:pPr>
        <w:widowControl/>
        <w:ind w:left="360"/>
        <w:rPr>
          <w:sz w:val="22"/>
        </w:rPr>
      </w:pPr>
      <w:r>
        <w:rPr>
          <w:sz w:val="22"/>
        </w:rPr>
        <w:t xml:space="preserve">This edition reflects the following additions to the instrument vendor abbreviations table:  </w:t>
      </w:r>
    </w:p>
    <w:p w:rsidR="00892D34" w:rsidRDefault="00892D34" w:rsidP="00332043">
      <w:pPr>
        <w:widowControl/>
        <w:ind w:left="360"/>
        <w:rPr>
          <w:sz w:val="28"/>
        </w:rPr>
      </w:pPr>
      <w:r>
        <w:t xml:space="preserve">LeCroy </w:t>
      </w:r>
      <w:r>
        <w:rPr>
          <w:sz w:val="22"/>
        </w:rPr>
        <w:t>identifier added.</w:t>
      </w:r>
    </w:p>
    <w:p w:rsidR="00332043" w:rsidRDefault="00332043" w:rsidP="00332043">
      <w:pPr>
        <w:ind w:left="360"/>
      </w:pPr>
    </w:p>
    <w:p w:rsidR="007946C2" w:rsidRDefault="007946C2" w:rsidP="007946C2">
      <w:pPr>
        <w:rPr>
          <w:b/>
          <w:sz w:val="28"/>
        </w:rPr>
      </w:pPr>
      <w:r>
        <w:rPr>
          <w:b/>
          <w:sz w:val="28"/>
        </w:rPr>
        <w:t>Revision 4.1, January 27, 2009</w:t>
      </w:r>
    </w:p>
    <w:p w:rsidR="007946C2" w:rsidRDefault="007946C2" w:rsidP="007946C2">
      <w:r>
        <w:rPr>
          <w:b/>
          <w:sz w:val="28"/>
        </w:rPr>
        <w:t xml:space="preserve">     </w:t>
      </w:r>
      <w:r w:rsidRPr="001A6130">
        <w:t xml:space="preserve">Editorial change to update the </w:t>
      </w:r>
      <w:r>
        <w:t xml:space="preserve">Section 2.1 Introduction </w:t>
      </w:r>
      <w:r w:rsidRPr="001A6130">
        <w:t>to include email contact information</w:t>
      </w:r>
    </w:p>
    <w:p w:rsidR="007946C2" w:rsidRDefault="007946C2" w:rsidP="007946C2">
      <w:r>
        <w:t xml:space="preserve">    </w:t>
      </w:r>
      <w:r w:rsidRPr="001A6130">
        <w:t xml:space="preserve"> </w:t>
      </w:r>
      <w:r>
        <w:t xml:space="preserve"> </w:t>
      </w:r>
      <w:r w:rsidRPr="001A6130">
        <w:t>for registering vendor prefixes.</w:t>
      </w:r>
    </w:p>
    <w:p w:rsidR="00361130" w:rsidRDefault="00361130" w:rsidP="00361130">
      <w:pPr>
        <w:rPr>
          <w:b/>
          <w:sz w:val="28"/>
        </w:rPr>
      </w:pPr>
    </w:p>
    <w:p w:rsidR="00361130" w:rsidRDefault="00361130" w:rsidP="00361130">
      <w:pPr>
        <w:rPr>
          <w:b/>
          <w:sz w:val="28"/>
        </w:rPr>
      </w:pPr>
      <w:r>
        <w:rPr>
          <w:b/>
          <w:sz w:val="28"/>
        </w:rPr>
        <w:t>Revision 4.2, April 2, 2009</w:t>
      </w:r>
    </w:p>
    <w:p w:rsidR="00361130" w:rsidRDefault="00361130" w:rsidP="00361130">
      <w:pPr>
        <w:widowControl/>
        <w:ind w:left="360"/>
        <w:rPr>
          <w:sz w:val="22"/>
        </w:rPr>
      </w:pPr>
      <w:r>
        <w:rPr>
          <w:sz w:val="22"/>
        </w:rPr>
        <w:t xml:space="preserve">This edition reflects the following additions to the instrument vendor abbreviations table:  </w:t>
      </w:r>
    </w:p>
    <w:p w:rsidR="00361130" w:rsidRDefault="00361130" w:rsidP="00361130">
      <w:pPr>
        <w:widowControl/>
        <w:ind w:left="360"/>
        <w:rPr>
          <w:sz w:val="22"/>
        </w:rPr>
      </w:pPr>
      <w:r>
        <w:t xml:space="preserve">Picotest </w:t>
      </w:r>
      <w:r>
        <w:rPr>
          <w:sz w:val="22"/>
        </w:rPr>
        <w:t>identifier added.</w:t>
      </w:r>
    </w:p>
    <w:p w:rsidR="00A41644" w:rsidRDefault="00A41644" w:rsidP="00361130">
      <w:pPr>
        <w:widowControl/>
        <w:ind w:left="360"/>
        <w:rPr>
          <w:sz w:val="22"/>
        </w:rPr>
      </w:pPr>
    </w:p>
    <w:p w:rsidR="00A41644" w:rsidRDefault="00A41644" w:rsidP="00A41644">
      <w:pPr>
        <w:rPr>
          <w:b/>
          <w:sz w:val="28"/>
        </w:rPr>
      </w:pPr>
      <w:r>
        <w:rPr>
          <w:b/>
          <w:sz w:val="28"/>
        </w:rPr>
        <w:t>Revision 4.3, May 29, 2009</w:t>
      </w:r>
    </w:p>
    <w:p w:rsidR="00A41644" w:rsidRDefault="00A41644" w:rsidP="00A41644">
      <w:pPr>
        <w:widowControl/>
        <w:ind w:left="360"/>
        <w:rPr>
          <w:sz w:val="22"/>
        </w:rPr>
      </w:pPr>
      <w:r>
        <w:rPr>
          <w:sz w:val="22"/>
        </w:rPr>
        <w:t xml:space="preserve">This edition reflects the following additions to the instrument vendor abbreviations table:  </w:t>
      </w:r>
    </w:p>
    <w:p w:rsidR="00A41644" w:rsidRDefault="00A41644" w:rsidP="00A41644">
      <w:pPr>
        <w:widowControl/>
        <w:ind w:left="360"/>
        <w:rPr>
          <w:sz w:val="22"/>
        </w:rPr>
      </w:pPr>
      <w:r>
        <w:rPr>
          <w:color w:val="000000"/>
        </w:rPr>
        <w:t>IBEKO POWER AB</w:t>
      </w:r>
      <w:r>
        <w:t xml:space="preserve"> </w:t>
      </w:r>
      <w:r>
        <w:rPr>
          <w:sz w:val="22"/>
        </w:rPr>
        <w:t>identifier added.</w:t>
      </w:r>
    </w:p>
    <w:p w:rsidR="00826442" w:rsidRDefault="00826442" w:rsidP="00826442">
      <w:pPr>
        <w:rPr>
          <w:b/>
          <w:sz w:val="28"/>
        </w:rPr>
      </w:pPr>
    </w:p>
    <w:p w:rsidR="00826442" w:rsidRDefault="00826442" w:rsidP="00826442">
      <w:pPr>
        <w:rPr>
          <w:b/>
          <w:sz w:val="28"/>
        </w:rPr>
      </w:pPr>
      <w:r>
        <w:rPr>
          <w:b/>
          <w:sz w:val="28"/>
        </w:rPr>
        <w:t>Revision 4.4, August 3, 2009</w:t>
      </w:r>
    </w:p>
    <w:p w:rsidR="00826442" w:rsidRDefault="00826442" w:rsidP="00826442">
      <w:pPr>
        <w:widowControl/>
        <w:ind w:left="360"/>
        <w:rPr>
          <w:sz w:val="22"/>
        </w:rPr>
      </w:pPr>
      <w:r>
        <w:rPr>
          <w:sz w:val="22"/>
        </w:rPr>
        <w:t xml:space="preserve">This edition reflects the following additions to the instrument vendor abbreviations table:  </w:t>
      </w:r>
    </w:p>
    <w:p w:rsidR="00826442" w:rsidRDefault="00826442" w:rsidP="00826442">
      <w:pPr>
        <w:widowControl/>
        <w:ind w:left="360"/>
        <w:rPr>
          <w:sz w:val="28"/>
        </w:rPr>
      </w:pPr>
      <w:r>
        <w:rPr>
          <w:color w:val="000000"/>
        </w:rPr>
        <w:t>Holding “Informtest”</w:t>
      </w:r>
      <w:r>
        <w:t xml:space="preserve"> </w:t>
      </w:r>
      <w:r>
        <w:rPr>
          <w:sz w:val="22"/>
        </w:rPr>
        <w:t>identifier added.</w:t>
      </w:r>
    </w:p>
    <w:p w:rsidR="00826442" w:rsidRDefault="00826442" w:rsidP="00A41644">
      <w:pPr>
        <w:widowControl/>
        <w:ind w:left="360"/>
        <w:rPr>
          <w:sz w:val="28"/>
        </w:rPr>
      </w:pPr>
    </w:p>
    <w:p w:rsidR="007D7FA9" w:rsidRDefault="007D7FA9" w:rsidP="007D7FA9">
      <w:pPr>
        <w:rPr>
          <w:b/>
          <w:sz w:val="28"/>
        </w:rPr>
      </w:pPr>
      <w:r>
        <w:rPr>
          <w:b/>
          <w:sz w:val="28"/>
        </w:rPr>
        <w:t>Revision 4.5, May 13, 2010</w:t>
      </w:r>
    </w:p>
    <w:p w:rsidR="007D7FA9" w:rsidRDefault="007D7FA9" w:rsidP="007D7FA9">
      <w:pPr>
        <w:widowControl/>
        <w:ind w:left="360"/>
        <w:rPr>
          <w:sz w:val="28"/>
        </w:rPr>
      </w:pPr>
      <w:r>
        <w:rPr>
          <w:sz w:val="22"/>
        </w:rPr>
        <w:t>This edition reflects the following additions to the instrument vendor abbreviations table:  Thurlby Thandar Instruments Limited</w:t>
      </w:r>
      <w:r>
        <w:t xml:space="preserve"> </w:t>
      </w:r>
      <w:r w:rsidR="00906DA6">
        <w:rPr>
          <w:sz w:val="22"/>
        </w:rPr>
        <w:t>and Vencon Technologies identifiers</w:t>
      </w:r>
      <w:r>
        <w:rPr>
          <w:sz w:val="22"/>
        </w:rPr>
        <w:t xml:space="preserve"> added.</w:t>
      </w:r>
    </w:p>
    <w:p w:rsidR="007D7FA9" w:rsidRDefault="007D7FA9" w:rsidP="007D7FA9">
      <w:pPr>
        <w:widowControl/>
        <w:ind w:left="360"/>
        <w:rPr>
          <w:sz w:val="28"/>
        </w:rPr>
      </w:pPr>
    </w:p>
    <w:p w:rsidR="00A41644" w:rsidRDefault="00A41644" w:rsidP="00361130">
      <w:pPr>
        <w:widowControl/>
        <w:ind w:left="360"/>
        <w:rPr>
          <w:sz w:val="28"/>
        </w:rPr>
      </w:pPr>
    </w:p>
    <w:p w:rsidR="001D329D" w:rsidRDefault="001D329D" w:rsidP="001D329D">
      <w:pPr>
        <w:widowControl/>
        <w:rPr>
          <w:sz w:val="28"/>
        </w:rPr>
      </w:pPr>
    </w:p>
    <w:p w:rsidR="00B65BDA" w:rsidRDefault="00712247" w:rsidP="00B65BDA">
      <w:pPr>
        <w:rPr>
          <w:b/>
          <w:sz w:val="28"/>
        </w:rPr>
      </w:pPr>
      <w:r>
        <w:rPr>
          <w:b/>
        </w:rPr>
        <w:br w:type="page"/>
      </w:r>
      <w:r w:rsidR="00B65BDA">
        <w:rPr>
          <w:b/>
          <w:sz w:val="28"/>
        </w:rPr>
        <w:lastRenderedPageBreak/>
        <w:t>NOTICE</w:t>
      </w:r>
    </w:p>
    <w:p w:rsidR="00DA4297" w:rsidRDefault="00DA4297" w:rsidP="00B65BDA">
      <w:pPr>
        <w:rPr>
          <w:b/>
          <w:sz w:val="28"/>
        </w:rPr>
      </w:pPr>
    </w:p>
    <w:p w:rsidR="00B65BDA" w:rsidRDefault="00B65BDA" w:rsidP="00B65BDA">
      <w:r w:rsidRPr="00905480">
        <w:t>VPP-</w:t>
      </w:r>
      <w:r>
        <w:t>9</w:t>
      </w:r>
      <w:r w:rsidRPr="00905480">
        <w:t xml:space="preserve">: </w:t>
      </w:r>
      <w:r w:rsidRPr="00905480">
        <w:rPr>
          <w:i/>
          <w:u w:val="single"/>
        </w:rPr>
        <w:t xml:space="preserve">Instrument </w:t>
      </w:r>
      <w:r>
        <w:rPr>
          <w:i/>
          <w:u w:val="single"/>
        </w:rPr>
        <w:t>Vendor Abbreviations</w:t>
      </w:r>
      <w:r w:rsidRPr="00905480">
        <w:t xml:space="preserve"> </w:t>
      </w:r>
      <w:r>
        <w:t xml:space="preserve">is authored by the IVI Foundation member companies. For a vendor membership roster list, please visit the IVI Foundation web site at </w:t>
      </w:r>
      <w:r w:rsidRPr="00841E5B">
        <w:rPr>
          <w:rFonts w:ascii="Courier" w:hAnsi="Courier"/>
        </w:rPr>
        <w:t>www.ivifoundation.org</w:t>
      </w:r>
      <w:r>
        <w:t>.</w:t>
      </w:r>
    </w:p>
    <w:p w:rsidR="00841E5B" w:rsidRDefault="00841E5B" w:rsidP="00B65BDA"/>
    <w:p w:rsidR="00841E5B" w:rsidRDefault="00841E5B" w:rsidP="00841E5B">
      <w:bookmarkStart w:id="0" w:name="OLE_LINK1"/>
      <w:bookmarkStart w:id="1" w:name="OLE_LINK2"/>
      <w:r w:rsidRPr="00A45214">
        <w:t>The IVI Foundation wants to receive your comments on this specification. You can contact the Foundation through the we</w:t>
      </w:r>
      <w:r>
        <w:t xml:space="preserve">b site at </w:t>
      </w:r>
      <w:r w:rsidRPr="00A45214">
        <w:rPr>
          <w:rFonts w:ascii="Courier" w:hAnsi="Courier" w:cs="Courier New"/>
        </w:rPr>
        <w:t>www.ivifoundation.org</w:t>
      </w:r>
      <w:r>
        <w:t>.</w:t>
      </w:r>
      <w:bookmarkEnd w:id="0"/>
      <w:bookmarkEnd w:id="1"/>
    </w:p>
    <w:p w:rsidR="00DA4297" w:rsidRDefault="00DA4297" w:rsidP="00B65BDA"/>
    <w:p w:rsidR="00B65BDA" w:rsidRDefault="00B65BDA" w:rsidP="00DA4297">
      <w:pPr>
        <w:rPr>
          <w:b/>
          <w:sz w:val="28"/>
          <w:szCs w:val="28"/>
        </w:rPr>
      </w:pPr>
      <w:bookmarkStart w:id="2" w:name="_Toc530746285"/>
      <w:bookmarkStart w:id="3" w:name="_Toc163638559"/>
      <w:r w:rsidRPr="00DA4297">
        <w:rPr>
          <w:b/>
          <w:sz w:val="28"/>
          <w:szCs w:val="28"/>
        </w:rPr>
        <w:t>Warranty</w:t>
      </w:r>
      <w:bookmarkEnd w:id="2"/>
      <w:bookmarkEnd w:id="3"/>
    </w:p>
    <w:p w:rsidR="00DA4297" w:rsidRPr="00DA4297" w:rsidRDefault="00DA4297" w:rsidP="00DA4297">
      <w:pPr>
        <w:rPr>
          <w:b/>
          <w:sz w:val="28"/>
          <w:szCs w:val="28"/>
        </w:rPr>
      </w:pPr>
    </w:p>
    <w:p w:rsidR="00B65BDA" w:rsidRDefault="00B65BDA" w:rsidP="00B65B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rsidR="00DA4297" w:rsidRDefault="00DA4297" w:rsidP="00DA4297"/>
    <w:p w:rsidR="00DA4297" w:rsidRDefault="00DA4297" w:rsidP="00DA4297">
      <w:pPr>
        <w:rPr>
          <w:b/>
          <w:sz w:val="28"/>
          <w:szCs w:val="28"/>
        </w:rPr>
      </w:pPr>
      <w:r>
        <w:rPr>
          <w:b/>
          <w:sz w:val="28"/>
          <w:szCs w:val="28"/>
        </w:rPr>
        <w:t>Trademarks</w:t>
      </w:r>
    </w:p>
    <w:p w:rsidR="00DA4297" w:rsidRPr="00DA4297" w:rsidRDefault="00DA4297" w:rsidP="00DA4297">
      <w:pPr>
        <w:rPr>
          <w:b/>
          <w:sz w:val="28"/>
          <w:szCs w:val="28"/>
        </w:rPr>
      </w:pPr>
    </w:p>
    <w:p w:rsidR="00B65BDA" w:rsidRDefault="00B65BDA" w:rsidP="00B65BDA">
      <w:r>
        <w:t>Product and company names listed are trademarks or trade names of their respective companies.</w:t>
      </w:r>
    </w:p>
    <w:p w:rsidR="00B65BDA" w:rsidRDefault="00B65BDA" w:rsidP="00B65BDA"/>
    <w:p w:rsidR="00B65BDA" w:rsidRDefault="00B65BDA" w:rsidP="00B65BDA">
      <w:r>
        <w:t>No investigation has been made of common-law trademark rights in any work.</w:t>
      </w:r>
    </w:p>
    <w:p w:rsidR="00712247" w:rsidRDefault="0071224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712247" w:rsidRDefault="00712247">
      <w:pPr>
        <w:widowControl/>
        <w:sectPr w:rsidR="00712247">
          <w:footerReference w:type="even" r:id="rId10"/>
          <w:footerReference w:type="default" r:id="rId11"/>
          <w:footnotePr>
            <w:numRestart w:val="eachPage"/>
          </w:footnotePr>
          <w:endnotePr>
            <w:numFmt w:val="decimal"/>
          </w:endnotePr>
          <w:pgSz w:w="12240" w:h="15840"/>
          <w:pgMar w:top="1440" w:right="1440" w:bottom="1440" w:left="1440" w:header="720" w:footer="720" w:gutter="0"/>
          <w:pgNumType w:start="1"/>
          <w:cols w:space="720"/>
        </w:sectPr>
      </w:pPr>
    </w:p>
    <w:p w:rsidR="00712247" w:rsidRDefault="00712247">
      <w:pPr>
        <w:widowControl/>
        <w:rPr>
          <w:b/>
          <w:sz w:val="48"/>
        </w:rPr>
      </w:pPr>
      <w:r>
        <w:rPr>
          <w:b/>
          <w:sz w:val="48"/>
        </w:rPr>
        <w:lastRenderedPageBreak/>
        <w:t>Contents</w:t>
      </w:r>
    </w:p>
    <w:p w:rsidR="00712247" w:rsidRDefault="00712247">
      <w:pPr>
        <w:widowControl/>
        <w:tabs>
          <w:tab w:val="right" w:pos="9360"/>
        </w:tabs>
      </w:pPr>
      <w:r>
        <w:rPr>
          <w:u w:val="single"/>
        </w:rPr>
        <w:tab/>
      </w:r>
    </w:p>
    <w:p w:rsidR="00712247" w:rsidRDefault="00712247" w:rsidP="006B44DC"/>
    <w:p w:rsidR="00E05F0A" w:rsidRDefault="00E05F0A">
      <w:pPr>
        <w:pStyle w:val="TOC1"/>
        <w:rPr>
          <w:rFonts w:ascii="Times New Roman" w:hAnsi="Times New Roman"/>
          <w:noProof/>
          <w:szCs w:val="24"/>
        </w:rPr>
      </w:pPr>
      <w:r>
        <w:fldChar w:fldCharType="begin"/>
      </w:r>
      <w:r>
        <w:instrText xml:space="preserve"> TOC \o "1-3" \u </w:instrText>
      </w:r>
      <w:r>
        <w:fldChar w:fldCharType="separate"/>
      </w:r>
      <w:r>
        <w:rPr>
          <w:noProof/>
        </w:rPr>
        <w:t>Section 1</w:t>
      </w:r>
      <w:r>
        <w:rPr>
          <w:noProof/>
        </w:rPr>
        <w:br/>
        <w:t>Introduction to the VXI</w:t>
      </w:r>
      <w:r w:rsidRPr="00EA4EE8">
        <w:rPr>
          <w:i/>
          <w:noProof/>
        </w:rPr>
        <w:t>plug&amp;play</w:t>
      </w:r>
      <w:r>
        <w:rPr>
          <w:noProof/>
        </w:rPr>
        <w:t xml:space="preserve"> Systems Alliance and the IVI Foundation</w:t>
      </w:r>
      <w:r>
        <w:rPr>
          <w:noProof/>
        </w:rPr>
        <w:tab/>
        <w:t>1-</w:t>
      </w:r>
      <w:r>
        <w:rPr>
          <w:noProof/>
        </w:rPr>
        <w:fldChar w:fldCharType="begin"/>
      </w:r>
      <w:r>
        <w:rPr>
          <w:noProof/>
        </w:rPr>
        <w:instrText xml:space="preserve"> PAGEREF _Toc173554965 \h </w:instrText>
      </w:r>
      <w:r w:rsidR="000241C1">
        <w:rPr>
          <w:noProof/>
        </w:rPr>
      </w:r>
      <w:r>
        <w:rPr>
          <w:noProof/>
        </w:rPr>
        <w:fldChar w:fldCharType="separate"/>
      </w:r>
      <w:r w:rsidR="006444AF">
        <w:rPr>
          <w:noProof/>
        </w:rPr>
        <w:t>1</w:t>
      </w:r>
      <w:r>
        <w:rPr>
          <w:noProof/>
        </w:rPr>
        <w:fldChar w:fldCharType="end"/>
      </w:r>
    </w:p>
    <w:p w:rsidR="00E05F0A" w:rsidRDefault="00E05F0A">
      <w:pPr>
        <w:pStyle w:val="TOC1"/>
        <w:rPr>
          <w:rFonts w:ascii="Times New Roman" w:hAnsi="Times New Roman"/>
          <w:noProof/>
          <w:szCs w:val="24"/>
        </w:rPr>
      </w:pPr>
      <w:r>
        <w:rPr>
          <w:noProof/>
        </w:rPr>
        <w:t>Section 2</w:t>
      </w:r>
      <w:r>
        <w:rPr>
          <w:noProof/>
        </w:rPr>
        <w:br/>
        <w:t>Overview of Instrument Vendor Abbreviations Specification</w:t>
      </w:r>
      <w:r>
        <w:rPr>
          <w:noProof/>
        </w:rPr>
        <w:tab/>
        <w:t>2-</w:t>
      </w:r>
      <w:r>
        <w:rPr>
          <w:noProof/>
        </w:rPr>
        <w:fldChar w:fldCharType="begin"/>
      </w:r>
      <w:r>
        <w:rPr>
          <w:noProof/>
        </w:rPr>
        <w:instrText xml:space="preserve"> PAGEREF _Toc173554967 \h </w:instrText>
      </w:r>
      <w:r w:rsidR="000241C1">
        <w:rPr>
          <w:noProof/>
        </w:rPr>
      </w:r>
      <w:r>
        <w:rPr>
          <w:noProof/>
        </w:rPr>
        <w:fldChar w:fldCharType="separate"/>
      </w:r>
      <w:r w:rsidR="006444AF">
        <w:rPr>
          <w:noProof/>
        </w:rPr>
        <w:t>1</w:t>
      </w:r>
      <w:r>
        <w:rPr>
          <w:noProof/>
        </w:rPr>
        <w:fldChar w:fldCharType="end"/>
      </w:r>
    </w:p>
    <w:p w:rsidR="00E05F0A" w:rsidRDefault="00E05F0A">
      <w:pPr>
        <w:pStyle w:val="TOC2"/>
        <w:rPr>
          <w:rFonts w:ascii="Times New Roman" w:hAnsi="Times New Roman"/>
          <w:noProof/>
          <w:szCs w:val="24"/>
        </w:rPr>
      </w:pPr>
      <w:r>
        <w:rPr>
          <w:noProof/>
        </w:rPr>
        <w:t>2.1  Introduction</w:t>
      </w:r>
      <w:r>
        <w:rPr>
          <w:noProof/>
        </w:rPr>
        <w:tab/>
        <w:t>2-</w:t>
      </w:r>
      <w:r>
        <w:rPr>
          <w:noProof/>
        </w:rPr>
        <w:fldChar w:fldCharType="begin"/>
      </w:r>
      <w:r>
        <w:rPr>
          <w:noProof/>
        </w:rPr>
        <w:instrText xml:space="preserve"> PAGEREF _Toc173554968 \h </w:instrText>
      </w:r>
      <w:r w:rsidR="000241C1">
        <w:rPr>
          <w:noProof/>
        </w:rPr>
      </w:r>
      <w:r>
        <w:rPr>
          <w:noProof/>
        </w:rPr>
        <w:fldChar w:fldCharType="separate"/>
      </w:r>
      <w:r w:rsidR="006444AF">
        <w:rPr>
          <w:noProof/>
        </w:rPr>
        <w:t>1</w:t>
      </w:r>
      <w:r>
        <w:rPr>
          <w:noProof/>
        </w:rPr>
        <w:fldChar w:fldCharType="end"/>
      </w:r>
    </w:p>
    <w:p w:rsidR="00E05F0A" w:rsidRDefault="00E05F0A">
      <w:pPr>
        <w:pStyle w:val="TOC2"/>
        <w:rPr>
          <w:rFonts w:ascii="Times New Roman" w:hAnsi="Times New Roman"/>
          <w:noProof/>
          <w:szCs w:val="24"/>
        </w:rPr>
      </w:pPr>
      <w:r>
        <w:rPr>
          <w:noProof/>
        </w:rPr>
        <w:t>2.2  References</w:t>
      </w:r>
      <w:r>
        <w:rPr>
          <w:noProof/>
        </w:rPr>
        <w:tab/>
        <w:t>2-</w:t>
      </w:r>
      <w:r>
        <w:rPr>
          <w:noProof/>
        </w:rPr>
        <w:fldChar w:fldCharType="begin"/>
      </w:r>
      <w:r>
        <w:rPr>
          <w:noProof/>
        </w:rPr>
        <w:instrText xml:space="preserve"> PAGEREF _Toc173554969 \h </w:instrText>
      </w:r>
      <w:r w:rsidR="000241C1">
        <w:rPr>
          <w:noProof/>
        </w:rPr>
      </w:r>
      <w:r>
        <w:rPr>
          <w:noProof/>
        </w:rPr>
        <w:fldChar w:fldCharType="separate"/>
      </w:r>
      <w:r w:rsidR="006444AF">
        <w:rPr>
          <w:noProof/>
        </w:rPr>
        <w:t>1</w:t>
      </w:r>
      <w:r>
        <w:rPr>
          <w:noProof/>
        </w:rPr>
        <w:fldChar w:fldCharType="end"/>
      </w:r>
    </w:p>
    <w:p w:rsidR="00E05F0A" w:rsidRDefault="00E05F0A">
      <w:pPr>
        <w:pStyle w:val="TOC2"/>
        <w:rPr>
          <w:rFonts w:ascii="Times New Roman" w:hAnsi="Times New Roman"/>
          <w:noProof/>
          <w:szCs w:val="24"/>
        </w:rPr>
      </w:pPr>
      <w:r>
        <w:rPr>
          <w:noProof/>
        </w:rPr>
        <w:t>2.3  Conventions</w:t>
      </w:r>
      <w:r>
        <w:rPr>
          <w:noProof/>
        </w:rPr>
        <w:tab/>
        <w:t>2-</w:t>
      </w:r>
      <w:r>
        <w:rPr>
          <w:noProof/>
        </w:rPr>
        <w:fldChar w:fldCharType="begin"/>
      </w:r>
      <w:r>
        <w:rPr>
          <w:noProof/>
        </w:rPr>
        <w:instrText xml:space="preserve"> PAGEREF _Toc173554970 \h </w:instrText>
      </w:r>
      <w:r w:rsidR="000241C1">
        <w:rPr>
          <w:noProof/>
        </w:rPr>
      </w:r>
      <w:r>
        <w:rPr>
          <w:noProof/>
        </w:rPr>
        <w:fldChar w:fldCharType="separate"/>
      </w:r>
      <w:r w:rsidR="006444AF">
        <w:rPr>
          <w:noProof/>
        </w:rPr>
        <w:t>1</w:t>
      </w:r>
      <w:r>
        <w:rPr>
          <w:noProof/>
        </w:rPr>
        <w:fldChar w:fldCharType="end"/>
      </w:r>
    </w:p>
    <w:p w:rsidR="00E05F0A" w:rsidRDefault="00E05F0A">
      <w:pPr>
        <w:pStyle w:val="TOC1"/>
        <w:rPr>
          <w:rFonts w:ascii="Times New Roman" w:hAnsi="Times New Roman"/>
          <w:noProof/>
          <w:szCs w:val="24"/>
        </w:rPr>
      </w:pPr>
      <w:r>
        <w:rPr>
          <w:noProof/>
        </w:rPr>
        <w:t>Section 3</w:t>
      </w:r>
      <w:r>
        <w:rPr>
          <w:noProof/>
        </w:rPr>
        <w:br/>
        <w:t>Instrument Vendor Abbreviations</w:t>
      </w:r>
      <w:r>
        <w:rPr>
          <w:noProof/>
        </w:rPr>
        <w:tab/>
        <w:t>3-</w:t>
      </w:r>
      <w:r>
        <w:rPr>
          <w:noProof/>
        </w:rPr>
        <w:fldChar w:fldCharType="begin"/>
      </w:r>
      <w:r>
        <w:rPr>
          <w:noProof/>
        </w:rPr>
        <w:instrText xml:space="preserve"> PAGEREF _Toc173554972 \h </w:instrText>
      </w:r>
      <w:r w:rsidR="000241C1">
        <w:rPr>
          <w:noProof/>
        </w:rPr>
      </w:r>
      <w:r>
        <w:rPr>
          <w:noProof/>
        </w:rPr>
        <w:fldChar w:fldCharType="separate"/>
      </w:r>
      <w:r w:rsidR="006444AF">
        <w:rPr>
          <w:noProof/>
        </w:rPr>
        <w:t>1</w:t>
      </w:r>
      <w:r>
        <w:rPr>
          <w:noProof/>
        </w:rPr>
        <w:fldChar w:fldCharType="end"/>
      </w:r>
    </w:p>
    <w:p w:rsidR="00E05F0A" w:rsidRDefault="00E05F0A">
      <w:pPr>
        <w:pStyle w:val="TOC2"/>
        <w:rPr>
          <w:rFonts w:ascii="Times New Roman" w:hAnsi="Times New Roman"/>
          <w:noProof/>
          <w:szCs w:val="24"/>
        </w:rPr>
      </w:pPr>
      <w:r>
        <w:rPr>
          <w:noProof/>
        </w:rPr>
        <w:t>3.1  Introduction</w:t>
      </w:r>
      <w:r>
        <w:rPr>
          <w:noProof/>
        </w:rPr>
        <w:tab/>
        <w:t>3-</w:t>
      </w:r>
      <w:r>
        <w:rPr>
          <w:noProof/>
        </w:rPr>
        <w:fldChar w:fldCharType="begin"/>
      </w:r>
      <w:r>
        <w:rPr>
          <w:noProof/>
        </w:rPr>
        <w:instrText xml:space="preserve"> PAGEREF _Toc173554973 \h </w:instrText>
      </w:r>
      <w:r w:rsidR="000241C1">
        <w:rPr>
          <w:noProof/>
        </w:rPr>
      </w:r>
      <w:r>
        <w:rPr>
          <w:noProof/>
        </w:rPr>
        <w:fldChar w:fldCharType="separate"/>
      </w:r>
      <w:r w:rsidR="006444AF">
        <w:rPr>
          <w:noProof/>
        </w:rPr>
        <w:t>1</w:t>
      </w:r>
      <w:r>
        <w:rPr>
          <w:noProof/>
        </w:rPr>
        <w:fldChar w:fldCharType="end"/>
      </w:r>
    </w:p>
    <w:p w:rsidR="00E05F0A" w:rsidRDefault="00E05F0A">
      <w:pPr>
        <w:pStyle w:val="TOC2"/>
        <w:rPr>
          <w:rFonts w:ascii="Times New Roman" w:hAnsi="Times New Roman"/>
          <w:noProof/>
          <w:szCs w:val="24"/>
        </w:rPr>
      </w:pPr>
      <w:r>
        <w:rPr>
          <w:noProof/>
        </w:rPr>
        <w:t>3.2  Instrument Vendor Abbreviations</w:t>
      </w:r>
      <w:r>
        <w:rPr>
          <w:noProof/>
        </w:rPr>
        <w:tab/>
        <w:t>3-</w:t>
      </w:r>
      <w:r>
        <w:rPr>
          <w:noProof/>
        </w:rPr>
        <w:fldChar w:fldCharType="begin"/>
      </w:r>
      <w:r>
        <w:rPr>
          <w:noProof/>
        </w:rPr>
        <w:instrText xml:space="preserve"> PAGEREF _Toc173554974 \h </w:instrText>
      </w:r>
      <w:r w:rsidR="000241C1">
        <w:rPr>
          <w:noProof/>
        </w:rPr>
      </w:r>
      <w:r>
        <w:rPr>
          <w:noProof/>
        </w:rPr>
        <w:fldChar w:fldCharType="separate"/>
      </w:r>
      <w:r w:rsidR="006444AF">
        <w:rPr>
          <w:noProof/>
        </w:rPr>
        <w:t>1</w:t>
      </w:r>
      <w:r>
        <w:rPr>
          <w:noProof/>
        </w:rPr>
        <w:fldChar w:fldCharType="end"/>
      </w:r>
    </w:p>
    <w:p w:rsidR="00712247" w:rsidRDefault="00E05F0A">
      <w:pPr>
        <w:widowControl/>
        <w:tabs>
          <w:tab w:val="left" w:pos="720"/>
          <w:tab w:val="left" w:pos="1440"/>
          <w:tab w:val="left" w:pos="2160"/>
          <w:tab w:val="right" w:leader="dot" w:pos="9360"/>
        </w:tabs>
      </w:pPr>
      <w:r>
        <w:fldChar w:fldCharType="end"/>
      </w:r>
    </w:p>
    <w:p w:rsidR="00712247" w:rsidRPr="000307F4" w:rsidRDefault="00712247" w:rsidP="00E21968">
      <w:pPr>
        <w:widowControl/>
        <w:tabs>
          <w:tab w:val="left" w:pos="720"/>
          <w:tab w:val="left" w:pos="1260"/>
          <w:tab w:val="left" w:pos="2160"/>
          <w:tab w:val="right" w:leader="dot" w:pos="9360"/>
        </w:tabs>
        <w:rPr>
          <w:sz w:val="36"/>
          <w:szCs w:val="36"/>
        </w:rPr>
      </w:pPr>
      <w:r w:rsidRPr="000307F4">
        <w:rPr>
          <w:b/>
          <w:sz w:val="36"/>
          <w:szCs w:val="36"/>
        </w:rPr>
        <w:t>Table</w:t>
      </w:r>
    </w:p>
    <w:p w:rsidR="00712247" w:rsidRDefault="00712247">
      <w:pPr>
        <w:widowControl/>
        <w:tabs>
          <w:tab w:val="left" w:pos="720"/>
          <w:tab w:val="left" w:pos="1260"/>
          <w:tab w:val="left" w:pos="2160"/>
          <w:tab w:val="right" w:leader="dot" w:pos="9360"/>
        </w:tabs>
      </w:pPr>
    </w:p>
    <w:p w:rsidR="00712247" w:rsidRDefault="00712247">
      <w:pPr>
        <w:widowControl/>
        <w:tabs>
          <w:tab w:val="left" w:pos="720"/>
          <w:tab w:val="left" w:pos="1260"/>
          <w:tab w:val="left" w:pos="2160"/>
          <w:tab w:val="right" w:leader="dot" w:pos="9360"/>
        </w:tabs>
      </w:pPr>
      <w:r>
        <w:t>Table 3-1.</w:t>
      </w:r>
      <w:r w:rsidR="00E05F0A">
        <w:t xml:space="preserve">  </w:t>
      </w:r>
      <w:r>
        <w:t>Instrument Vendor Abbreviations</w:t>
      </w:r>
      <w:r>
        <w:tab/>
        <w:t>3-1</w:t>
      </w:r>
    </w:p>
    <w:p w:rsidR="00712247" w:rsidRDefault="00712247">
      <w:pPr>
        <w:widowControl/>
      </w:pPr>
    </w:p>
    <w:p w:rsidR="00712247" w:rsidRDefault="00712247">
      <w:pPr>
        <w:widowControl/>
        <w:sectPr w:rsidR="00712247">
          <w:headerReference w:type="even" r:id="rId12"/>
          <w:headerReference w:type="default" r:id="rId13"/>
          <w:footerReference w:type="even" r:id="rId14"/>
          <w:footerReference w:type="default" r:id="rId15"/>
          <w:headerReference w:type="first" r:id="rId16"/>
          <w:footerReference w:type="first" r:id="rId17"/>
          <w:footnotePr>
            <w:numRestart w:val="eachPage"/>
          </w:footnotePr>
          <w:endnotePr>
            <w:numFmt w:val="decimal"/>
          </w:endnotePr>
          <w:pgSz w:w="12240" w:h="15840"/>
          <w:pgMar w:top="1440" w:right="1440" w:bottom="1440" w:left="1440" w:header="720" w:footer="720" w:gutter="0"/>
          <w:pgNumType w:fmt="lowerRoman"/>
          <w:cols w:space="720"/>
          <w:noEndnote/>
        </w:sectPr>
      </w:pPr>
    </w:p>
    <w:p w:rsidR="00712247" w:rsidRDefault="00712247" w:rsidP="00E05F0A">
      <w:pPr>
        <w:pStyle w:val="Heading1"/>
      </w:pPr>
      <w:bookmarkStart w:id="4" w:name="_Toc173554964"/>
      <w:r>
        <w:lastRenderedPageBreak/>
        <w:t>Section 1</w:t>
      </w:r>
      <w:bookmarkEnd w:id="4"/>
      <w:r>
        <w:fldChar w:fldCharType="begin"/>
      </w:r>
      <w:r>
        <w:instrText>tc "Section 1" \l 01</w:instrText>
      </w:r>
      <w:r>
        <w:fldChar w:fldCharType="end"/>
      </w:r>
    </w:p>
    <w:p w:rsidR="00712247" w:rsidRDefault="00712247" w:rsidP="00E05F0A">
      <w:pPr>
        <w:pStyle w:val="Heading1"/>
      </w:pPr>
      <w:bookmarkStart w:id="5" w:name="_Toc173554965"/>
      <w:r>
        <w:t>Introduction to the VXI</w:t>
      </w:r>
      <w:r>
        <w:rPr>
          <w:i/>
        </w:rPr>
        <w:t>plug&amp;play</w:t>
      </w:r>
      <w:r>
        <w:t xml:space="preserve"> Systems </w:t>
      </w:r>
      <w:smartTag w:uri="urn:schemas-microsoft-com:office:smarttags" w:element="place">
        <w:smartTag w:uri="urn:schemas-microsoft-com:office:smarttags" w:element="City">
          <w:r>
            <w:t>Alliance</w:t>
          </w:r>
        </w:smartTag>
      </w:smartTag>
      <w:r w:rsidR="00B65BDA">
        <w:t xml:space="preserve"> and the IVI Foundation</w:t>
      </w:r>
      <w:bookmarkEnd w:id="5"/>
      <w:r>
        <w:fldChar w:fldCharType="begin"/>
      </w:r>
      <w:r>
        <w:instrText xml:space="preserve">tc "Introduction to the VXIplug&amp;play Systems </w:instrText>
      </w:r>
      <w:smartTag w:uri="urn:schemas-microsoft-com:office:smarttags" w:element="City">
        <w:r>
          <w:instrText>Alliance</w:instrText>
        </w:r>
      </w:smartTag>
      <w:r w:rsidR="00B65BDA">
        <w:instrText xml:space="preserve"> and the IVI Foundation</w:instrText>
      </w:r>
      <w:r>
        <w:instrText>" \l 01</w:instrText>
      </w:r>
      <w:r>
        <w:fldChar w:fldCharType="end"/>
      </w:r>
    </w:p>
    <w:p w:rsidR="00712247" w:rsidRDefault="00712247">
      <w:pPr>
        <w:widowControl/>
        <w:tabs>
          <w:tab w:val="right" w:pos="9360"/>
        </w:tabs>
      </w:pPr>
      <w:r>
        <w:rPr>
          <w:u w:val="single"/>
        </w:rPr>
        <w:tab/>
      </w:r>
    </w:p>
    <w:p w:rsidR="00712247" w:rsidRDefault="00712247">
      <w:pPr>
        <w:widowControl/>
      </w:pPr>
    </w:p>
    <w:p w:rsidR="009A189E" w:rsidRPr="00A81DAF" w:rsidRDefault="009A189E" w:rsidP="009A18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r w:rsidRPr="00A81DAF">
        <w:rPr>
          <w:rFonts w:ascii="Times New Roman" w:hAnsi="Times New Roman"/>
          <w:color w:val="000000"/>
        </w:rPr>
        <w:t>The VXI</w:t>
      </w:r>
      <w:r w:rsidRPr="00A81DAF">
        <w:rPr>
          <w:rFonts w:ascii="Times New Roman" w:hAnsi="Times New Roman"/>
          <w:i/>
          <w:color w:val="000000"/>
        </w:rPr>
        <w:t>plug&amp;play</w:t>
      </w:r>
      <w:r w:rsidRPr="00A81DAF">
        <w:rPr>
          <w:rFonts w:ascii="Times New Roman" w:hAnsi="Times New Roman"/>
          <w:color w:val="000000"/>
        </w:rPr>
        <w:t xml:space="preserve"> Systems Alliance was </w:t>
      </w:r>
      <w:r>
        <w:rPr>
          <w:rFonts w:ascii="Times New Roman" w:hAnsi="Times New Roman"/>
          <w:color w:val="000000"/>
        </w:rPr>
        <w:t>founded by</w:t>
      </w:r>
      <w:r w:rsidRPr="00A81DAF">
        <w:rPr>
          <w:rFonts w:ascii="Times New Roman" w:hAnsi="Times New Roman"/>
          <w:color w:val="000000"/>
        </w:rPr>
        <w:t xml:space="preserve"> members </w:t>
      </w:r>
      <w:r>
        <w:rPr>
          <w:rFonts w:ascii="Times New Roman" w:hAnsi="Times New Roman"/>
          <w:color w:val="000000"/>
        </w:rPr>
        <w:t xml:space="preserve">who </w:t>
      </w:r>
      <w:r w:rsidRPr="00A81DAF">
        <w:rPr>
          <w:rFonts w:ascii="Times New Roman" w:hAnsi="Times New Roman"/>
          <w:color w:val="000000"/>
        </w:rPr>
        <w:t>shared a common commitment to end-user success with open, multivendor VXI systems. The alliance accomplished major improvements in ease of use by endorsing and implementing common standards and practices in both hardware and software, beyond the scope of the VXIbus specifications. The alliance used both formal and de facto standards to define complete system frameworks. These standard frameworks gave end-users "plug &amp; play" interoperability at both the hardware and system software level.</w:t>
      </w:r>
    </w:p>
    <w:p w:rsidR="009A189E" w:rsidRDefault="009A189E" w:rsidP="009A18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p>
    <w:p w:rsidR="009A189E" w:rsidRPr="00AF03EF" w:rsidRDefault="009A189E" w:rsidP="009A18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r w:rsidRPr="00AF03EF">
        <w:t>The IVI Foundation is an organization whose members share a common commitment to test system developer success through open, powerful, instrument control technology.  The IVI Foundation’s primary purpose is to develop and promote specifications for programming test instruments that simplify interchangeability, provide better performance, and reduce the cost of program development and maintenance.</w:t>
      </w:r>
    </w:p>
    <w:p w:rsidR="009A189E" w:rsidRPr="00AF03EF" w:rsidRDefault="009A189E" w:rsidP="009A18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p>
    <w:p w:rsidR="009A189E" w:rsidRDefault="009A189E" w:rsidP="009A18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rPr>
      </w:pPr>
      <w:r w:rsidRPr="00AF03EF">
        <w:t>In 2002, the VXI</w:t>
      </w:r>
      <w:r w:rsidRPr="00AF03EF">
        <w:rPr>
          <w:i/>
        </w:rPr>
        <w:t xml:space="preserve">plug&amp;play </w:t>
      </w:r>
      <w:r w:rsidRPr="00AF03EF">
        <w:t>Systems Alliance voted to become part of the IVI Foundation.  In 2003, the VXI</w:t>
      </w:r>
      <w:r w:rsidRPr="00AF03EF">
        <w:rPr>
          <w:i/>
        </w:rPr>
        <w:t xml:space="preserve">plug&amp;play </w:t>
      </w:r>
      <w:r w:rsidRPr="00AF03EF">
        <w:t xml:space="preserve">Systems Alliance formally merged into the IVI Foundation.  </w:t>
      </w:r>
      <w:r w:rsidRPr="00AF03EF">
        <w:rPr>
          <w:rFonts w:ascii="Times New Roman" w:hAnsi="Times New Roman"/>
        </w:rPr>
        <w:t xml:space="preserve">The </w:t>
      </w:r>
      <w:r w:rsidRPr="00AF03EF">
        <w:rPr>
          <w:rFonts w:ascii="Times New Roman" w:hAnsi="Times New Roman"/>
          <w:color w:val="000000"/>
        </w:rPr>
        <w:t xml:space="preserve">IVI </w:t>
      </w:r>
      <w:r w:rsidRPr="00AF03EF">
        <w:rPr>
          <w:rFonts w:ascii="Times New Roman" w:hAnsi="Times New Roman"/>
        </w:rPr>
        <w:t xml:space="preserve">Foundation </w:t>
      </w:r>
      <w:r w:rsidRPr="00AF03EF">
        <w:rPr>
          <w:rFonts w:ascii="Times New Roman" w:hAnsi="Times New Roman"/>
          <w:color w:val="000000"/>
        </w:rPr>
        <w:t>has assumed control of the VXI</w:t>
      </w:r>
      <w:r w:rsidRPr="00AF03EF">
        <w:rPr>
          <w:rFonts w:ascii="Times New Roman" w:hAnsi="Times New Roman"/>
          <w:i/>
          <w:color w:val="000000"/>
        </w:rPr>
        <w:t>plug&amp;play</w:t>
      </w:r>
      <w:r w:rsidRPr="00AF03EF">
        <w:rPr>
          <w:rFonts w:ascii="Times New Roman" w:hAnsi="Times New Roman"/>
          <w:color w:val="000000"/>
        </w:rPr>
        <w:t xml:space="preserve"> specifications, and all ongoing work will be accomplished as part of the IVI Foundation.</w:t>
      </w:r>
    </w:p>
    <w:p w:rsidR="009A189E" w:rsidRDefault="009A189E" w:rsidP="009A18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rPr>
      </w:pPr>
    </w:p>
    <w:p w:rsidR="009A189E" w:rsidRDefault="009A189E" w:rsidP="009A18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rPr>
      </w:pPr>
      <w:r>
        <w:rPr>
          <w:rFonts w:ascii="Times New Roman" w:hAnsi="Times New Roman"/>
          <w:color w:val="000000"/>
        </w:rPr>
        <w:t xml:space="preserve">All references to </w:t>
      </w:r>
      <w:r>
        <w:t>VXI</w:t>
      </w:r>
      <w:r w:rsidRPr="00A81DAF">
        <w:rPr>
          <w:i/>
        </w:rPr>
        <w:t xml:space="preserve">plug&amp;play </w:t>
      </w:r>
      <w:r>
        <w:t>Systems Alliance within this document, except contact information, were maintained to preserve the context of the original document.</w:t>
      </w:r>
    </w:p>
    <w:p w:rsidR="009A189E" w:rsidRDefault="009A189E" w:rsidP="009A18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rPr>
      </w:pPr>
    </w:p>
    <w:p w:rsidR="00712247" w:rsidRDefault="00712247">
      <w:pPr>
        <w:widowControl/>
      </w:pPr>
    </w:p>
    <w:p w:rsidR="00712247" w:rsidRDefault="00712247">
      <w:pPr>
        <w:widowControl/>
        <w:sectPr w:rsidR="00712247">
          <w:headerReference w:type="even" r:id="rId18"/>
          <w:headerReference w:type="default" r:id="rId19"/>
          <w:footerReference w:type="even" r:id="rId20"/>
          <w:footerReference w:type="default" r:id="rId21"/>
          <w:headerReference w:type="first" r:id="rId22"/>
          <w:footerReference w:type="first" r:id="rId23"/>
          <w:footnotePr>
            <w:numRestart w:val="eachPage"/>
          </w:footnotePr>
          <w:endnotePr>
            <w:numFmt w:val="decimal"/>
          </w:endnotePr>
          <w:pgSz w:w="12240" w:h="15840"/>
          <w:pgMar w:top="1440" w:right="1440" w:bottom="1440" w:left="1440" w:header="720" w:footer="720" w:gutter="0"/>
          <w:pgNumType w:start="1"/>
          <w:cols w:space="720"/>
          <w:noEndnote/>
        </w:sectPr>
      </w:pPr>
    </w:p>
    <w:p w:rsidR="00712247" w:rsidRDefault="00712247" w:rsidP="00E05F0A">
      <w:pPr>
        <w:pStyle w:val="Heading1"/>
      </w:pPr>
      <w:bookmarkStart w:id="6" w:name="_Toc173554966"/>
      <w:r>
        <w:lastRenderedPageBreak/>
        <w:t>Section 2</w:t>
      </w:r>
      <w:bookmarkEnd w:id="6"/>
      <w:r>
        <w:fldChar w:fldCharType="begin"/>
      </w:r>
      <w:r>
        <w:instrText>tc "Section 2" \l 01</w:instrText>
      </w:r>
      <w:r>
        <w:fldChar w:fldCharType="end"/>
      </w:r>
    </w:p>
    <w:p w:rsidR="00712247" w:rsidRDefault="00712247" w:rsidP="00E05F0A">
      <w:pPr>
        <w:pStyle w:val="Heading1"/>
      </w:pPr>
      <w:bookmarkStart w:id="7" w:name="_Toc173554967"/>
      <w:r>
        <w:t>Overview of Instrument Vendor Abbreviations Specification</w:t>
      </w:r>
      <w:bookmarkEnd w:id="7"/>
      <w:r>
        <w:fldChar w:fldCharType="begin"/>
      </w:r>
      <w:r>
        <w:instrText>tc "Overview of Instrument Vendor Abbreviations Specification" \l 01</w:instrText>
      </w:r>
      <w:r>
        <w:fldChar w:fldCharType="end"/>
      </w:r>
    </w:p>
    <w:p w:rsidR="00712247" w:rsidRDefault="00712247">
      <w:pPr>
        <w:widowControl/>
        <w:tabs>
          <w:tab w:val="right" w:pos="9360"/>
        </w:tabs>
      </w:pPr>
      <w:r>
        <w:rPr>
          <w:u w:val="single"/>
        </w:rPr>
        <w:tab/>
      </w:r>
    </w:p>
    <w:p w:rsidR="00712247" w:rsidRDefault="00712247">
      <w:pPr>
        <w:widowControl/>
      </w:pPr>
    </w:p>
    <w:p w:rsidR="00712247" w:rsidRDefault="00712247" w:rsidP="00E05F0A">
      <w:pPr>
        <w:pStyle w:val="Heading2"/>
      </w:pPr>
      <w:bookmarkStart w:id="8" w:name="_Toc173554968"/>
      <w:r>
        <w:t>2.1  Introduction</w:t>
      </w:r>
      <w:bookmarkEnd w:id="8"/>
    </w:p>
    <w:p w:rsidR="00712247" w:rsidRDefault="00712247">
      <w:pPr>
        <w:widowControl/>
        <w:rPr>
          <w:b/>
          <w:sz w:val="28"/>
        </w:rPr>
      </w:pPr>
    </w:p>
    <w:p w:rsidR="00712247" w:rsidRDefault="00712247">
      <w:pPr>
        <w:widowControl/>
      </w:pPr>
      <w:r>
        <w:t>To uniquely identify all VXI</w:t>
      </w:r>
      <w:r>
        <w:rPr>
          <w:i/>
        </w:rPr>
        <w:t>plug&amp;play</w:t>
      </w:r>
      <w:r>
        <w:t xml:space="preserve"> components, filenames and function names begin with a two-character abbreviation that uniquely identifies the supplier of the component.  </w:t>
      </w:r>
    </w:p>
    <w:p w:rsidR="00712247" w:rsidRDefault="00712247">
      <w:pPr>
        <w:widowControl/>
      </w:pPr>
    </w:p>
    <w:p w:rsidR="00712247" w:rsidRDefault="00712247">
      <w:pPr>
        <w:widowControl/>
      </w:pPr>
      <w:r>
        <w:t xml:space="preserve">The two-character abbreviations are maintained by the </w:t>
      </w:r>
      <w:r w:rsidR="00533D04">
        <w:t>IVI Foundation</w:t>
      </w:r>
      <w:r>
        <w:t xml:space="preserve">. </w:t>
      </w:r>
      <w:r w:rsidR="007946C2" w:rsidRPr="008F3F94">
        <w:rPr>
          <w:szCs w:val="24"/>
        </w:rPr>
        <w:t>Contact the IVI Foundation (</w:t>
      </w:r>
      <w:hyperlink r:id="rId24" w:history="1">
        <w:r w:rsidR="007946C2" w:rsidRPr="008F3F94">
          <w:rPr>
            <w:rStyle w:val="Hyperlink"/>
            <w:sz w:val="24"/>
            <w:szCs w:val="24"/>
          </w:rPr>
          <w:t>admin@ivifoundation.org</w:t>
        </w:r>
      </w:hyperlink>
      <w:r w:rsidR="007946C2" w:rsidRPr="008F3F94">
        <w:rPr>
          <w:szCs w:val="24"/>
        </w:rPr>
        <w:t xml:space="preserve">) to register a new vendor prefix. </w:t>
      </w:r>
      <w:r>
        <w:t xml:space="preserve">Vendors do not need to join the </w:t>
      </w:r>
      <w:r w:rsidR="00533D04">
        <w:t>IVI Foundation</w:t>
      </w:r>
      <w:r>
        <w:t xml:space="preserve"> to obtain a defined two-character abbreviation.</w:t>
      </w:r>
    </w:p>
    <w:p w:rsidR="00712247" w:rsidRDefault="00712247">
      <w:pPr>
        <w:widowControl/>
      </w:pPr>
    </w:p>
    <w:p w:rsidR="00712247" w:rsidRDefault="00712247" w:rsidP="00E05F0A">
      <w:pPr>
        <w:pStyle w:val="Heading2"/>
      </w:pPr>
      <w:bookmarkStart w:id="9" w:name="_Toc173554969"/>
      <w:r>
        <w:t>2.2  References</w:t>
      </w:r>
      <w:bookmarkEnd w:id="9"/>
    </w:p>
    <w:p w:rsidR="00712247" w:rsidRDefault="00712247">
      <w:pPr>
        <w:widowControl/>
        <w:rPr>
          <w:b/>
          <w:sz w:val="28"/>
        </w:rPr>
      </w:pPr>
    </w:p>
    <w:p w:rsidR="00712247" w:rsidRDefault="00712247">
      <w:pPr>
        <w:widowControl/>
      </w:pPr>
      <w:r>
        <w:t>Several other VXI</w:t>
      </w:r>
      <w:r>
        <w:rPr>
          <w:i/>
        </w:rPr>
        <w:t>plug&amp;play</w:t>
      </w:r>
      <w:r>
        <w:t xml:space="preserve"> Systems Alliance documents and specifications are related to this specification.  These other related documents include the following:</w:t>
      </w:r>
    </w:p>
    <w:p w:rsidR="00712247" w:rsidRDefault="00712247">
      <w:pPr>
        <w:widowControl/>
      </w:pPr>
    </w:p>
    <w:p w:rsidR="00712247" w:rsidRDefault="00712247">
      <w:pPr>
        <w:widowControl/>
        <w:ind w:left="360" w:hanging="360"/>
      </w:pPr>
      <w:r>
        <w:t>•</w:t>
      </w:r>
      <w:r>
        <w:tab/>
        <w:t>VPP-1</w:t>
      </w:r>
      <w:r>
        <w:tab/>
      </w:r>
      <w:r>
        <w:rPr>
          <w:i/>
        </w:rPr>
        <w:t>Charter Document</w:t>
      </w:r>
    </w:p>
    <w:p w:rsidR="00712247" w:rsidRDefault="00712247">
      <w:pPr>
        <w:widowControl/>
        <w:ind w:left="360" w:hanging="360"/>
      </w:pPr>
      <w:r>
        <w:t>•</w:t>
      </w:r>
      <w:r>
        <w:tab/>
        <w:t>VPP-2</w:t>
      </w:r>
      <w:r>
        <w:tab/>
      </w:r>
      <w:r>
        <w:rPr>
          <w:i/>
        </w:rPr>
        <w:t>System Frameworks Specification</w:t>
      </w:r>
    </w:p>
    <w:p w:rsidR="00712247" w:rsidRDefault="00712247">
      <w:pPr>
        <w:widowControl/>
        <w:ind w:left="360" w:hanging="360"/>
      </w:pPr>
    </w:p>
    <w:p w:rsidR="00712247" w:rsidRDefault="00712247">
      <w:pPr>
        <w:widowControl/>
        <w:ind w:left="360" w:hanging="360"/>
      </w:pPr>
      <w:r>
        <w:t>•</w:t>
      </w:r>
      <w:r>
        <w:tab/>
        <w:t>VPP-3.1</w:t>
      </w:r>
      <w:r>
        <w:tab/>
      </w:r>
      <w:r>
        <w:rPr>
          <w:i/>
        </w:rPr>
        <w:t>Instrument Drivers Architecture and Design Specification</w:t>
      </w:r>
    </w:p>
    <w:p w:rsidR="00712247" w:rsidRDefault="00712247">
      <w:pPr>
        <w:widowControl/>
        <w:ind w:left="360" w:hanging="360"/>
      </w:pPr>
    </w:p>
    <w:p w:rsidR="00712247" w:rsidRDefault="00712247">
      <w:pPr>
        <w:widowControl/>
        <w:ind w:left="360" w:hanging="360"/>
        <w:rPr>
          <w:i/>
        </w:rPr>
      </w:pPr>
      <w:r>
        <w:t>•</w:t>
      </w:r>
      <w:r>
        <w:tab/>
        <w:t>VPP-3.2</w:t>
      </w:r>
      <w:r>
        <w:tab/>
      </w:r>
      <w:r>
        <w:rPr>
          <w:i/>
        </w:rPr>
        <w:t>Instrument Driver Functional Body Specification</w:t>
      </w:r>
      <w:r>
        <w:t xml:space="preserve"> </w:t>
      </w:r>
    </w:p>
    <w:p w:rsidR="00712247" w:rsidRDefault="00712247">
      <w:pPr>
        <w:widowControl/>
        <w:ind w:left="360" w:hanging="360"/>
      </w:pPr>
    </w:p>
    <w:p w:rsidR="00712247" w:rsidRDefault="00712247">
      <w:pPr>
        <w:widowControl/>
        <w:ind w:left="360" w:hanging="360"/>
      </w:pPr>
      <w:r>
        <w:t>•</w:t>
      </w:r>
      <w:r>
        <w:tab/>
        <w:t>VPP-3.3</w:t>
      </w:r>
      <w:r>
        <w:tab/>
      </w:r>
      <w:r>
        <w:rPr>
          <w:i/>
        </w:rPr>
        <w:t>Instrument Driver Interactive Developer Interface Specification</w:t>
      </w:r>
    </w:p>
    <w:p w:rsidR="00712247" w:rsidRDefault="00712247">
      <w:pPr>
        <w:widowControl/>
        <w:ind w:left="360" w:hanging="360"/>
        <w:rPr>
          <w:i/>
        </w:rPr>
      </w:pPr>
    </w:p>
    <w:p w:rsidR="00712247" w:rsidRDefault="00712247">
      <w:pPr>
        <w:widowControl/>
        <w:ind w:left="360" w:hanging="360"/>
        <w:rPr>
          <w:i/>
        </w:rPr>
      </w:pPr>
      <w:r>
        <w:t>•</w:t>
      </w:r>
      <w:r>
        <w:tab/>
        <w:t>VPP-3.4</w:t>
      </w:r>
      <w:r>
        <w:rPr>
          <w:i/>
        </w:rPr>
        <w:tab/>
        <w:t>Instrument Driver Programmatic Developer Specification</w:t>
      </w:r>
    </w:p>
    <w:p w:rsidR="00712247" w:rsidRDefault="00712247">
      <w:pPr>
        <w:widowControl/>
        <w:ind w:left="360" w:hanging="360"/>
      </w:pPr>
    </w:p>
    <w:p w:rsidR="00712247" w:rsidRDefault="00712247">
      <w:pPr>
        <w:widowControl/>
        <w:ind w:left="360" w:hanging="360"/>
      </w:pPr>
      <w:r>
        <w:t>•</w:t>
      </w:r>
      <w:r>
        <w:tab/>
        <w:t>VPP-4.</w:t>
      </w:r>
      <w:r>
        <w:rPr>
          <w:i/>
        </w:rPr>
        <w:t>x</w:t>
      </w:r>
      <w:r>
        <w:tab/>
      </w:r>
      <w:r>
        <w:rPr>
          <w:i/>
        </w:rPr>
        <w:t>Virtual Instrument Software Architecture Specifications</w:t>
      </w:r>
    </w:p>
    <w:p w:rsidR="00712247" w:rsidRDefault="00712247">
      <w:pPr>
        <w:widowControl/>
      </w:pPr>
    </w:p>
    <w:p w:rsidR="00712247" w:rsidRDefault="00712247">
      <w:pPr>
        <w:widowControl/>
        <w:ind w:left="360" w:hanging="360"/>
      </w:pPr>
      <w:r>
        <w:t>•</w:t>
      </w:r>
      <w:r>
        <w:tab/>
        <w:t>VPP-6</w:t>
      </w:r>
      <w:r>
        <w:tab/>
      </w:r>
      <w:r>
        <w:rPr>
          <w:i/>
        </w:rPr>
        <w:t>Installation and Packaging Specification</w:t>
      </w:r>
    </w:p>
    <w:p w:rsidR="00712247" w:rsidRDefault="00712247">
      <w:pPr>
        <w:widowControl/>
        <w:ind w:left="360" w:hanging="360"/>
      </w:pPr>
    </w:p>
    <w:p w:rsidR="00712247" w:rsidRDefault="00712247">
      <w:pPr>
        <w:widowControl/>
        <w:ind w:left="360" w:hanging="360"/>
        <w:rPr>
          <w:i/>
        </w:rPr>
      </w:pPr>
      <w:r>
        <w:t>•</w:t>
      </w:r>
      <w:r>
        <w:tab/>
        <w:t>VPP-7</w:t>
      </w:r>
      <w:r>
        <w:tab/>
      </w:r>
      <w:r>
        <w:rPr>
          <w:i/>
        </w:rPr>
        <w:t xml:space="preserve">Soft Front Panel Specification </w:t>
      </w:r>
    </w:p>
    <w:p w:rsidR="00712247" w:rsidRDefault="00712247">
      <w:pPr>
        <w:widowControl/>
        <w:ind w:left="360" w:hanging="360"/>
      </w:pPr>
    </w:p>
    <w:p w:rsidR="00712247" w:rsidRDefault="00712247" w:rsidP="00E05F0A">
      <w:pPr>
        <w:pStyle w:val="Heading2"/>
      </w:pPr>
      <w:bookmarkStart w:id="10" w:name="_Toc173554970"/>
      <w:r>
        <w:t>2.3  Conventions</w:t>
      </w:r>
      <w:bookmarkEnd w:id="10"/>
    </w:p>
    <w:p w:rsidR="00712247" w:rsidRDefault="00712247">
      <w:pPr>
        <w:widowControl/>
        <w:rPr>
          <w:b/>
          <w:sz w:val="28"/>
        </w:rPr>
      </w:pPr>
    </w:p>
    <w:p w:rsidR="00712247" w:rsidRDefault="00712247">
      <w:pPr>
        <w:widowControl/>
      </w:pPr>
      <w:r>
        <w:t>The following headings appear on paragraphs throughout this specification.  These headings give special meaning to the paragraphs.</w:t>
      </w:r>
    </w:p>
    <w:p w:rsidR="00712247" w:rsidRDefault="00712247">
      <w:pPr>
        <w:widowControl/>
        <w:rPr>
          <w:i/>
        </w:rPr>
      </w:pPr>
    </w:p>
    <w:p w:rsidR="00712247" w:rsidRDefault="00712247">
      <w:pPr>
        <w:widowControl/>
      </w:pPr>
      <w:r>
        <w:rPr>
          <w:i/>
        </w:rPr>
        <w:lastRenderedPageBreak/>
        <w:t>Rules</w:t>
      </w:r>
      <w:r>
        <w:t xml:space="preserve"> must be followed to ensure compatibility with the system framework.  A rule is characterized by the words </w:t>
      </w:r>
      <w:r>
        <w:rPr>
          <w:b/>
        </w:rPr>
        <w:t>SHALL</w:t>
      </w:r>
      <w:r>
        <w:t xml:space="preserve"> or </w:t>
      </w:r>
      <w:r>
        <w:rPr>
          <w:b/>
        </w:rPr>
        <w:t>SHALL NOT</w:t>
      </w:r>
      <w:r>
        <w:t xml:space="preserve"> in bold upper case characters.  These words are not used in this manner for any other purpose.</w:t>
      </w:r>
    </w:p>
    <w:p w:rsidR="00712247" w:rsidRDefault="00712247">
      <w:pPr>
        <w:widowControl/>
        <w:rPr>
          <w:i/>
        </w:rPr>
      </w:pPr>
    </w:p>
    <w:p w:rsidR="00712247" w:rsidRDefault="00712247">
      <w:pPr>
        <w:widowControl/>
      </w:pPr>
      <w:r>
        <w:rPr>
          <w:i/>
        </w:rPr>
        <w:t>Recommendations</w:t>
      </w:r>
      <w:r>
        <w:t xml:space="preserve"> contain advice to implementors.  This advice affects the usability of the final device.  Recommendations are included in this standard to draw attention to particular characteristics that the authors believe to be important to end-user success.</w:t>
      </w:r>
    </w:p>
    <w:p w:rsidR="00712247" w:rsidRDefault="00712247">
      <w:pPr>
        <w:widowControl/>
        <w:rPr>
          <w:i/>
        </w:rPr>
      </w:pPr>
    </w:p>
    <w:p w:rsidR="00712247" w:rsidRDefault="00712247">
      <w:pPr>
        <w:widowControl/>
      </w:pPr>
      <w:r>
        <w:rPr>
          <w:i/>
        </w:rPr>
        <w:t>Permissions</w:t>
      </w:r>
      <w:r>
        <w:t xml:space="preserve"> authorize specific implementations or uses of system components.  A permission is characterized by the word </w:t>
      </w:r>
      <w:r>
        <w:rPr>
          <w:b/>
        </w:rPr>
        <w:t>MAY</w:t>
      </w:r>
      <w:r>
        <w:t xml:space="preserve"> in bold upper case characters.  These permissions are granted to ensure that specific system framework components are well defined and can be tested for compatibility and interoperability. </w:t>
      </w:r>
    </w:p>
    <w:p w:rsidR="00712247" w:rsidRDefault="00712247">
      <w:pPr>
        <w:widowControl/>
      </w:pPr>
    </w:p>
    <w:p w:rsidR="00712247" w:rsidRDefault="00712247">
      <w:pPr>
        <w:widowControl/>
      </w:pPr>
      <w:r>
        <w:rPr>
          <w:i/>
        </w:rPr>
        <w:t>A Note on the text of the specification:</w:t>
      </w:r>
      <w:r>
        <w:rPr>
          <w:b/>
        </w:rPr>
        <w:t xml:space="preserve"> </w:t>
      </w:r>
      <w:r>
        <w:t xml:space="preserve"> Any text that appears without heading should be considered a description of the standard and how the architecture was intended to operate.  The purpose of this text is to give the reader a deeper understanding of the intentions of the specification, including the underlying model and specific required features.  The implementor of this standard should ensure that a particular implementation does not conflict with the text of the standard.</w:t>
      </w:r>
    </w:p>
    <w:p w:rsidR="00712247" w:rsidRDefault="00712247">
      <w:pPr>
        <w:widowControl/>
      </w:pPr>
    </w:p>
    <w:p w:rsidR="00712247" w:rsidRDefault="00712247">
      <w:pPr>
        <w:widowControl/>
        <w:sectPr w:rsidR="00712247">
          <w:headerReference w:type="even" r:id="rId25"/>
          <w:headerReference w:type="default" r:id="rId26"/>
          <w:headerReference w:type="first" r:id="rId27"/>
          <w:footerReference w:type="first" r:id="rId28"/>
          <w:footnotePr>
            <w:numRestart w:val="eachPage"/>
          </w:footnotePr>
          <w:endnotePr>
            <w:numFmt w:val="decimal"/>
          </w:endnotePr>
          <w:pgSz w:w="12240" w:h="15840"/>
          <w:pgMar w:top="1440" w:right="1440" w:bottom="1440" w:left="1440" w:header="720" w:footer="720" w:gutter="0"/>
          <w:pgNumType w:start="1"/>
          <w:cols w:space="720"/>
          <w:noEndnote/>
        </w:sectPr>
      </w:pPr>
    </w:p>
    <w:p w:rsidR="00712247" w:rsidRDefault="00712247" w:rsidP="00E05F0A">
      <w:pPr>
        <w:pStyle w:val="Heading1"/>
      </w:pPr>
      <w:bookmarkStart w:id="11" w:name="_Toc173554971"/>
      <w:r>
        <w:lastRenderedPageBreak/>
        <w:t>Section 3</w:t>
      </w:r>
      <w:bookmarkEnd w:id="11"/>
      <w:r>
        <w:fldChar w:fldCharType="begin"/>
      </w:r>
      <w:r>
        <w:instrText>tc "Section 3" \l 01</w:instrText>
      </w:r>
      <w:r>
        <w:fldChar w:fldCharType="end"/>
      </w:r>
    </w:p>
    <w:p w:rsidR="00712247" w:rsidRDefault="00712247" w:rsidP="00E05F0A">
      <w:pPr>
        <w:pStyle w:val="Heading1"/>
      </w:pPr>
      <w:bookmarkStart w:id="12" w:name="_Toc173554972"/>
      <w:r>
        <w:t>Instrument Vendor Abbreviations</w:t>
      </w:r>
      <w:bookmarkEnd w:id="12"/>
      <w:r>
        <w:fldChar w:fldCharType="begin"/>
      </w:r>
      <w:r>
        <w:instrText>tc "Instrument Vendor Abbreviations" \l 01</w:instrText>
      </w:r>
      <w:r>
        <w:fldChar w:fldCharType="end"/>
      </w:r>
    </w:p>
    <w:p w:rsidR="00712247" w:rsidRDefault="00712247">
      <w:pPr>
        <w:widowControl/>
        <w:tabs>
          <w:tab w:val="right" w:pos="9360"/>
        </w:tabs>
      </w:pPr>
      <w:r>
        <w:rPr>
          <w:u w:val="single"/>
        </w:rPr>
        <w:tab/>
      </w:r>
    </w:p>
    <w:p w:rsidR="00712247" w:rsidRDefault="00712247">
      <w:pPr>
        <w:widowControl/>
        <w:rPr>
          <w:sz w:val="28"/>
        </w:rPr>
      </w:pPr>
    </w:p>
    <w:p w:rsidR="00712247" w:rsidRDefault="00712247" w:rsidP="00E05F0A">
      <w:pPr>
        <w:pStyle w:val="Heading2"/>
      </w:pPr>
      <w:bookmarkStart w:id="13" w:name="_Toc173554973"/>
      <w:r>
        <w:t>3.1  Introduction</w:t>
      </w:r>
      <w:bookmarkEnd w:id="13"/>
    </w:p>
    <w:p w:rsidR="00712247" w:rsidRDefault="00712247">
      <w:pPr>
        <w:widowControl/>
      </w:pPr>
    </w:p>
    <w:p w:rsidR="00712247" w:rsidRDefault="00712247">
      <w:pPr>
        <w:widowControl/>
      </w:pPr>
      <w:r>
        <w:t>To uniquely identify all VXI</w:t>
      </w:r>
      <w:r>
        <w:rPr>
          <w:i/>
        </w:rPr>
        <w:t>plug&amp;play</w:t>
      </w:r>
      <w:r>
        <w:t xml:space="preserve"> components, filenames and function names begin with a two-character abbreviation that uniquely identifies the supplier of the component.  </w:t>
      </w:r>
    </w:p>
    <w:p w:rsidR="00712247" w:rsidRDefault="00712247">
      <w:pPr>
        <w:widowControl/>
      </w:pPr>
    </w:p>
    <w:p w:rsidR="00712247" w:rsidRDefault="00712247">
      <w:pPr>
        <w:widowControl/>
      </w:pPr>
      <w:r>
        <w:t xml:space="preserve">The two-character abbreviations are maintained by the </w:t>
      </w:r>
      <w:r w:rsidR="00533D04">
        <w:t>IVI Foundation</w:t>
      </w:r>
      <w:r>
        <w:t xml:space="preserve">.  A developer who wants a new prefix must notify the </w:t>
      </w:r>
      <w:r w:rsidR="00533D04">
        <w:t>IVI Foundation</w:t>
      </w:r>
      <w:r>
        <w:t xml:space="preserve">.  Vendors do not need to join the </w:t>
      </w:r>
      <w:r w:rsidR="00533D04">
        <w:t>IVI Foundation</w:t>
      </w:r>
      <w:r>
        <w:t xml:space="preserve"> to obtain a defined two-character abbreviation.</w:t>
      </w:r>
    </w:p>
    <w:p w:rsidR="00712247" w:rsidRDefault="00712247">
      <w:pPr>
        <w:widowControl/>
      </w:pPr>
    </w:p>
    <w:p w:rsidR="00712247" w:rsidRDefault="00712247">
      <w:pPr>
        <w:widowControl/>
      </w:pPr>
    </w:p>
    <w:p w:rsidR="00712247" w:rsidRDefault="00712247" w:rsidP="00E05F0A">
      <w:pPr>
        <w:pStyle w:val="Heading2"/>
      </w:pPr>
      <w:bookmarkStart w:id="14" w:name="_Toc173554974"/>
      <w:r>
        <w:t>3.2  Instrument Vendor Abbreviations</w:t>
      </w:r>
      <w:bookmarkEnd w:id="14"/>
    </w:p>
    <w:p w:rsidR="00712247" w:rsidRDefault="00712247">
      <w:pPr>
        <w:widowControl/>
      </w:pPr>
    </w:p>
    <w:p w:rsidR="00712247" w:rsidRDefault="00712247">
      <w:pPr>
        <w:widowControl/>
        <w:rPr>
          <w:b/>
        </w:rPr>
      </w:pPr>
      <w:r>
        <w:rPr>
          <w:b/>
        </w:rPr>
        <w:t>RULE  3.1</w:t>
      </w:r>
    </w:p>
    <w:p w:rsidR="00712247" w:rsidRDefault="00712247">
      <w:pPr>
        <w:widowControl/>
        <w:ind w:left="1080"/>
      </w:pPr>
      <w:r>
        <w:t>The two-character abbreviations used for naming VXI</w:t>
      </w:r>
      <w:r>
        <w:rPr>
          <w:i/>
        </w:rPr>
        <w:t>plug&amp;play</w:t>
      </w:r>
      <w:r>
        <w:t xml:space="preserve"> components </w:t>
      </w:r>
      <w:r>
        <w:rPr>
          <w:b/>
        </w:rPr>
        <w:t>SHALL</w:t>
      </w:r>
      <w:r>
        <w:t xml:space="preserve"> be as defined in Table 3-1, </w:t>
      </w:r>
      <w:r>
        <w:rPr>
          <w:i/>
        </w:rPr>
        <w:t>Instrument Vendor Abbreviations</w:t>
      </w:r>
      <w:r>
        <w:t>.</w:t>
      </w:r>
    </w:p>
    <w:p w:rsidR="00712247" w:rsidRDefault="00712247">
      <w:pPr>
        <w:widowControl/>
        <w:rPr>
          <w:b/>
        </w:rPr>
      </w:pPr>
    </w:p>
    <w:p w:rsidR="00712247" w:rsidRDefault="00712247">
      <w:pPr>
        <w:widowControl/>
        <w:rPr>
          <w:b/>
        </w:rPr>
      </w:pPr>
      <w:r>
        <w:rPr>
          <w:b/>
        </w:rPr>
        <w:t>RULE  3.2</w:t>
      </w:r>
    </w:p>
    <w:p w:rsidR="00712247" w:rsidRDefault="00712247">
      <w:pPr>
        <w:widowControl/>
        <w:ind w:left="1080"/>
      </w:pPr>
      <w:r>
        <w:t xml:space="preserve">Additions to the Instrument Vendor Abbreviations table </w:t>
      </w:r>
      <w:r>
        <w:rPr>
          <w:b/>
        </w:rPr>
        <w:t>SHALL NOT</w:t>
      </w:r>
      <w:r>
        <w:t xml:space="preserve"> require a vote of the general membership.</w:t>
      </w:r>
    </w:p>
    <w:p w:rsidR="00712247" w:rsidRDefault="00712247">
      <w:pPr>
        <w:widowControl/>
      </w:pPr>
    </w:p>
    <w:p w:rsidR="00712247" w:rsidRDefault="00712247">
      <w:pPr>
        <w:widowControl/>
        <w:rPr>
          <w:b/>
        </w:rPr>
      </w:pPr>
      <w:r>
        <w:rPr>
          <w:b/>
        </w:rPr>
        <w:t>RULE  3.3</w:t>
      </w:r>
    </w:p>
    <w:p w:rsidR="00712247" w:rsidRDefault="00712247">
      <w:pPr>
        <w:widowControl/>
        <w:ind w:left="1080"/>
      </w:pPr>
      <w:r>
        <w:t xml:space="preserve">When new members are added to the Instrument Vendor Abbreviations table, the minor index of the revision of this specification </w:t>
      </w:r>
      <w:r>
        <w:rPr>
          <w:b/>
        </w:rPr>
        <w:t>SHALL</w:t>
      </w:r>
      <w:r>
        <w:t xml:space="preserve"> be incremented.</w:t>
      </w:r>
    </w:p>
    <w:p w:rsidR="00712247" w:rsidRDefault="00712247">
      <w:pPr>
        <w:widowControl/>
      </w:pPr>
    </w:p>
    <w:p w:rsidR="00712247" w:rsidRDefault="00712247">
      <w:pPr>
        <w:widowControl/>
        <w:jc w:val="center"/>
      </w:pPr>
      <w:r>
        <w:t>Table 3-1.  Instrument Vendor Abbreviations</w:t>
      </w:r>
    </w:p>
    <w:p w:rsidR="00712247" w:rsidRDefault="00712247">
      <w:pPr>
        <w:widowControl/>
      </w:pPr>
    </w:p>
    <w:tbl>
      <w:tblPr>
        <w:tblW w:w="0" w:type="auto"/>
        <w:tblInd w:w="1700" w:type="dxa"/>
        <w:tblLayout w:type="fixed"/>
        <w:tblLook w:val="0000"/>
      </w:tblPr>
      <w:tblGrid>
        <w:gridCol w:w="3868"/>
        <w:gridCol w:w="2160"/>
      </w:tblGrid>
      <w:tr w:rsidR="00712247">
        <w:tblPrEx>
          <w:tblCellMar>
            <w:top w:w="0" w:type="dxa"/>
            <w:bottom w:w="0" w:type="dxa"/>
          </w:tblCellMar>
        </w:tblPrEx>
        <w:trPr>
          <w:cantSplit/>
        </w:trPr>
        <w:tc>
          <w:tcPr>
            <w:tcW w:w="3868" w:type="dxa"/>
            <w:tcBorders>
              <w:top w:val="single" w:sz="6" w:space="0" w:color="auto"/>
              <w:left w:val="single" w:sz="6" w:space="0" w:color="auto"/>
              <w:bottom w:val="double" w:sz="6" w:space="0" w:color="auto"/>
              <w:right w:val="single" w:sz="6" w:space="0" w:color="auto"/>
            </w:tcBorders>
          </w:tcPr>
          <w:p w:rsidR="00712247" w:rsidRDefault="00712247">
            <w:pPr>
              <w:widowControl/>
              <w:spacing w:before="40" w:after="40"/>
              <w:jc w:val="center"/>
              <w:rPr>
                <w:b/>
              </w:rPr>
            </w:pPr>
            <w:r>
              <w:rPr>
                <w:b/>
              </w:rPr>
              <w:br/>
              <w:t>Vendor</w:t>
            </w:r>
          </w:p>
        </w:tc>
        <w:tc>
          <w:tcPr>
            <w:tcW w:w="2160" w:type="dxa"/>
            <w:tcBorders>
              <w:top w:val="single" w:sz="6" w:space="0" w:color="auto"/>
              <w:left w:val="single" w:sz="6" w:space="0" w:color="auto"/>
              <w:bottom w:val="double" w:sz="6" w:space="0" w:color="auto"/>
              <w:right w:val="single" w:sz="6" w:space="0" w:color="auto"/>
            </w:tcBorders>
          </w:tcPr>
          <w:p w:rsidR="00712247" w:rsidRDefault="00712247">
            <w:pPr>
              <w:widowControl/>
              <w:spacing w:before="40" w:after="40"/>
              <w:jc w:val="center"/>
              <w:rPr>
                <w:b/>
              </w:rPr>
            </w:pPr>
            <w:r>
              <w:rPr>
                <w:b/>
              </w:rPr>
              <w:t>Two Character Abbreviation</w:t>
            </w:r>
          </w:p>
        </w:tc>
      </w:tr>
      <w:tr w:rsidR="00712247">
        <w:tblPrEx>
          <w:tblCellMar>
            <w:top w:w="0" w:type="dxa"/>
            <w:bottom w:w="0" w:type="dxa"/>
          </w:tblCellMar>
        </w:tblPrEx>
        <w:trPr>
          <w:cantSplit/>
        </w:trPr>
        <w:tc>
          <w:tcPr>
            <w:tcW w:w="3868" w:type="dxa"/>
            <w:tcBorders>
              <w:left w:val="single" w:sz="6" w:space="0" w:color="auto"/>
              <w:right w:val="single" w:sz="6" w:space="0" w:color="auto"/>
            </w:tcBorders>
          </w:tcPr>
          <w:p w:rsidR="00712247" w:rsidRDefault="00712247">
            <w:pPr>
              <w:widowControl/>
              <w:spacing w:before="40" w:after="40"/>
              <w:ind w:left="80"/>
            </w:pPr>
            <w:r>
              <w:t>Acqiris</w:t>
            </w:r>
          </w:p>
        </w:tc>
        <w:tc>
          <w:tcPr>
            <w:tcW w:w="2160" w:type="dxa"/>
            <w:tcBorders>
              <w:left w:val="single" w:sz="6" w:space="0" w:color="auto"/>
              <w:right w:val="single" w:sz="6" w:space="0" w:color="auto"/>
            </w:tcBorders>
          </w:tcPr>
          <w:p w:rsidR="00712247" w:rsidRDefault="00712247">
            <w:pPr>
              <w:widowControl/>
              <w:spacing w:before="40" w:after="40"/>
              <w:jc w:val="center"/>
            </w:pPr>
            <w:r>
              <w:t>AQ</w:t>
            </w:r>
          </w:p>
        </w:tc>
      </w:tr>
      <w:tr w:rsidR="00712247">
        <w:tblPrEx>
          <w:tblCellMar>
            <w:top w:w="0" w:type="dxa"/>
            <w:bottom w:w="0" w:type="dxa"/>
          </w:tblCellMar>
        </w:tblPrEx>
        <w:trPr>
          <w:cantSplit/>
        </w:trPr>
        <w:tc>
          <w:tcPr>
            <w:tcW w:w="3868" w:type="dxa"/>
            <w:tcBorders>
              <w:left w:val="single" w:sz="6" w:space="0" w:color="auto"/>
              <w:right w:val="single" w:sz="6" w:space="0" w:color="auto"/>
            </w:tcBorders>
          </w:tcPr>
          <w:p w:rsidR="00712247" w:rsidRDefault="00712247">
            <w:pPr>
              <w:widowControl/>
              <w:spacing w:before="40" w:after="40"/>
              <w:ind w:left="80"/>
            </w:pPr>
            <w:r>
              <w:t>Advantest Corporation</w:t>
            </w:r>
          </w:p>
        </w:tc>
        <w:tc>
          <w:tcPr>
            <w:tcW w:w="2160" w:type="dxa"/>
            <w:tcBorders>
              <w:left w:val="single" w:sz="6" w:space="0" w:color="auto"/>
              <w:right w:val="single" w:sz="6" w:space="0" w:color="auto"/>
            </w:tcBorders>
          </w:tcPr>
          <w:p w:rsidR="00712247" w:rsidRDefault="00712247">
            <w:pPr>
              <w:widowControl/>
              <w:spacing w:before="40" w:after="40"/>
              <w:jc w:val="center"/>
            </w:pPr>
            <w:r>
              <w:t>AV</w:t>
            </w:r>
          </w:p>
        </w:tc>
      </w:tr>
      <w:tr w:rsidR="00712247">
        <w:tblPrEx>
          <w:tblCellMar>
            <w:top w:w="0" w:type="dxa"/>
            <w:bottom w:w="0" w:type="dxa"/>
          </w:tblCellMar>
        </w:tblPrEx>
        <w:trPr>
          <w:cantSplit/>
        </w:trPr>
        <w:tc>
          <w:tcPr>
            <w:tcW w:w="3868" w:type="dxa"/>
            <w:tcBorders>
              <w:left w:val="single" w:sz="6" w:space="0" w:color="auto"/>
              <w:right w:val="single" w:sz="6" w:space="0" w:color="auto"/>
            </w:tcBorders>
          </w:tcPr>
          <w:p w:rsidR="00712247" w:rsidRDefault="00712247">
            <w:pPr>
              <w:widowControl/>
              <w:spacing w:before="40" w:after="40"/>
              <w:ind w:left="80"/>
            </w:pPr>
            <w:r>
              <w:t>Aeroflex Laboratories</w:t>
            </w:r>
          </w:p>
        </w:tc>
        <w:tc>
          <w:tcPr>
            <w:tcW w:w="2160" w:type="dxa"/>
            <w:tcBorders>
              <w:left w:val="single" w:sz="6" w:space="0" w:color="auto"/>
              <w:right w:val="single" w:sz="6" w:space="0" w:color="auto"/>
            </w:tcBorders>
          </w:tcPr>
          <w:p w:rsidR="00712247" w:rsidRDefault="00712247">
            <w:pPr>
              <w:widowControl/>
              <w:spacing w:before="40" w:after="40"/>
              <w:jc w:val="center"/>
            </w:pPr>
            <w:r>
              <w:t>AF</w:t>
            </w:r>
          </w:p>
        </w:tc>
      </w:tr>
      <w:tr w:rsidR="00712247">
        <w:tblPrEx>
          <w:tblCellMar>
            <w:top w:w="0" w:type="dxa"/>
            <w:bottom w:w="0" w:type="dxa"/>
          </w:tblCellMar>
        </w:tblPrEx>
        <w:trPr>
          <w:cantSplit/>
        </w:trPr>
        <w:tc>
          <w:tcPr>
            <w:tcW w:w="3868" w:type="dxa"/>
            <w:tcBorders>
              <w:left w:val="single" w:sz="6" w:space="0" w:color="auto"/>
              <w:right w:val="single" w:sz="6" w:space="0" w:color="auto"/>
            </w:tcBorders>
          </w:tcPr>
          <w:p w:rsidR="00712247" w:rsidRDefault="00712247">
            <w:pPr>
              <w:widowControl/>
              <w:spacing w:before="40" w:after="40"/>
              <w:ind w:left="80"/>
            </w:pPr>
            <w:r>
              <w:t>Agilent Technologies</w:t>
            </w:r>
          </w:p>
        </w:tc>
        <w:tc>
          <w:tcPr>
            <w:tcW w:w="2160" w:type="dxa"/>
            <w:tcBorders>
              <w:left w:val="single" w:sz="6" w:space="0" w:color="auto"/>
              <w:right w:val="single" w:sz="6" w:space="0" w:color="auto"/>
            </w:tcBorders>
          </w:tcPr>
          <w:p w:rsidR="00712247" w:rsidRDefault="00712247">
            <w:pPr>
              <w:widowControl/>
              <w:spacing w:before="40" w:after="40"/>
              <w:jc w:val="center"/>
            </w:pPr>
            <w:r>
              <w:t>AG</w:t>
            </w:r>
          </w:p>
        </w:tc>
      </w:tr>
      <w:tr w:rsidR="00712247">
        <w:tblPrEx>
          <w:tblCellMar>
            <w:top w:w="0" w:type="dxa"/>
            <w:bottom w:w="0" w:type="dxa"/>
          </w:tblCellMar>
        </w:tblPrEx>
        <w:trPr>
          <w:cantSplit/>
        </w:trPr>
        <w:tc>
          <w:tcPr>
            <w:tcW w:w="3868" w:type="dxa"/>
            <w:tcBorders>
              <w:left w:val="single" w:sz="6" w:space="0" w:color="auto"/>
              <w:right w:val="single" w:sz="6" w:space="0" w:color="auto"/>
            </w:tcBorders>
          </w:tcPr>
          <w:p w:rsidR="00712247" w:rsidRDefault="00712247">
            <w:pPr>
              <w:widowControl/>
              <w:spacing w:before="40" w:after="40"/>
              <w:ind w:left="80"/>
            </w:pPr>
            <w:r>
              <w:t xml:space="preserve">AIM GmbH </w:t>
            </w:r>
          </w:p>
        </w:tc>
        <w:tc>
          <w:tcPr>
            <w:tcW w:w="2160" w:type="dxa"/>
            <w:tcBorders>
              <w:left w:val="single" w:sz="6" w:space="0" w:color="auto"/>
              <w:right w:val="single" w:sz="6" w:space="0" w:color="auto"/>
            </w:tcBorders>
          </w:tcPr>
          <w:p w:rsidR="00712247" w:rsidRDefault="00712247">
            <w:pPr>
              <w:widowControl/>
              <w:spacing w:before="40" w:after="40"/>
              <w:jc w:val="center"/>
            </w:pPr>
            <w:r>
              <w:t>AI</w:t>
            </w:r>
          </w:p>
        </w:tc>
      </w:tr>
      <w:tr w:rsidR="00712247">
        <w:tblPrEx>
          <w:tblCellMar>
            <w:top w:w="0" w:type="dxa"/>
            <w:bottom w:w="0" w:type="dxa"/>
          </w:tblCellMar>
        </w:tblPrEx>
        <w:trPr>
          <w:cantSplit/>
        </w:trPr>
        <w:tc>
          <w:tcPr>
            <w:tcW w:w="3868" w:type="dxa"/>
            <w:tcBorders>
              <w:left w:val="single" w:sz="6" w:space="0" w:color="auto"/>
              <w:right w:val="single" w:sz="6" w:space="0" w:color="auto"/>
            </w:tcBorders>
          </w:tcPr>
          <w:p w:rsidR="00712247" w:rsidRDefault="00712247">
            <w:pPr>
              <w:widowControl/>
              <w:spacing w:before="40" w:after="40"/>
              <w:ind w:left="80"/>
            </w:pPr>
            <w:r>
              <w:t>AMP Incorporated</w:t>
            </w:r>
          </w:p>
        </w:tc>
        <w:tc>
          <w:tcPr>
            <w:tcW w:w="2160" w:type="dxa"/>
            <w:tcBorders>
              <w:left w:val="single" w:sz="6" w:space="0" w:color="auto"/>
              <w:right w:val="single" w:sz="6" w:space="0" w:color="auto"/>
            </w:tcBorders>
          </w:tcPr>
          <w:p w:rsidR="00712247" w:rsidRDefault="00712247">
            <w:pPr>
              <w:widowControl/>
              <w:spacing w:before="40" w:after="40"/>
              <w:jc w:val="center"/>
            </w:pPr>
            <w:r>
              <w:t>AM</w:t>
            </w:r>
          </w:p>
        </w:tc>
      </w:tr>
    </w:tbl>
    <w:p w:rsidR="00712247" w:rsidRDefault="00712247">
      <w:pPr>
        <w:widowControl/>
        <w:tabs>
          <w:tab w:val="right" w:pos="7560"/>
        </w:tabs>
      </w:pPr>
      <w:r>
        <w:tab/>
        <w:t>(continues)</w:t>
      </w:r>
    </w:p>
    <w:p w:rsidR="00712247" w:rsidRDefault="00712247">
      <w:pPr>
        <w:widowControl/>
        <w:jc w:val="center"/>
      </w:pPr>
      <w:r>
        <w:br w:type="page"/>
      </w:r>
      <w:r>
        <w:lastRenderedPageBreak/>
        <w:t>Table 3-1.  Instrument Vendor Abbreviations (Continued)</w:t>
      </w:r>
    </w:p>
    <w:p w:rsidR="00712247" w:rsidRDefault="00712247">
      <w:pPr>
        <w:widowControl/>
      </w:pPr>
    </w:p>
    <w:tbl>
      <w:tblPr>
        <w:tblW w:w="0" w:type="auto"/>
        <w:tblInd w:w="1728" w:type="dxa"/>
        <w:tblLayout w:type="fixed"/>
        <w:tblLook w:val="0000"/>
      </w:tblPr>
      <w:tblGrid>
        <w:gridCol w:w="3785"/>
        <w:gridCol w:w="3413"/>
      </w:tblGrid>
      <w:tr w:rsidR="00712247" w:rsidTr="008B4A8E">
        <w:tblPrEx>
          <w:tblCellMar>
            <w:top w:w="0" w:type="dxa"/>
            <w:bottom w:w="0" w:type="dxa"/>
          </w:tblCellMar>
        </w:tblPrEx>
        <w:trPr>
          <w:cantSplit/>
          <w:trHeight w:val="467"/>
        </w:trPr>
        <w:tc>
          <w:tcPr>
            <w:tcW w:w="3785" w:type="dxa"/>
            <w:tcBorders>
              <w:top w:val="single" w:sz="6" w:space="0" w:color="auto"/>
              <w:left w:val="single" w:sz="6" w:space="0" w:color="auto"/>
              <w:bottom w:val="double" w:sz="6" w:space="0" w:color="auto"/>
              <w:right w:val="single" w:sz="6" w:space="0" w:color="auto"/>
            </w:tcBorders>
          </w:tcPr>
          <w:p w:rsidR="00712247" w:rsidRDefault="00712247">
            <w:pPr>
              <w:widowControl/>
              <w:spacing w:before="40" w:after="40"/>
              <w:jc w:val="center"/>
              <w:rPr>
                <w:b/>
              </w:rPr>
            </w:pPr>
            <w:r>
              <w:rPr>
                <w:b/>
              </w:rPr>
              <w:br/>
              <w:t>Vendor</w:t>
            </w:r>
          </w:p>
        </w:tc>
        <w:tc>
          <w:tcPr>
            <w:tcW w:w="3413" w:type="dxa"/>
            <w:tcBorders>
              <w:top w:val="single" w:sz="6" w:space="0" w:color="auto"/>
              <w:left w:val="single" w:sz="6" w:space="0" w:color="auto"/>
              <w:bottom w:val="double" w:sz="6" w:space="0" w:color="auto"/>
              <w:right w:val="single" w:sz="6" w:space="0" w:color="auto"/>
            </w:tcBorders>
          </w:tcPr>
          <w:p w:rsidR="00712247" w:rsidRDefault="00712247">
            <w:pPr>
              <w:widowControl/>
              <w:spacing w:before="40" w:after="40"/>
              <w:jc w:val="center"/>
              <w:rPr>
                <w:b/>
              </w:rPr>
            </w:pPr>
            <w:r>
              <w:rPr>
                <w:b/>
              </w:rPr>
              <w:t>Two Character Abbreviation</w:t>
            </w:r>
          </w:p>
        </w:tc>
      </w:tr>
      <w:tr w:rsidR="00712247" w:rsidTr="008B4A8E">
        <w:tblPrEx>
          <w:tblCellMar>
            <w:top w:w="0" w:type="dxa"/>
            <w:bottom w:w="0" w:type="dxa"/>
          </w:tblCellMar>
        </w:tblPrEx>
        <w:trPr>
          <w:cantSplit/>
          <w:trHeight w:val="267"/>
        </w:trPr>
        <w:tc>
          <w:tcPr>
            <w:tcW w:w="3785" w:type="dxa"/>
            <w:tcBorders>
              <w:left w:val="single" w:sz="6" w:space="0" w:color="auto"/>
              <w:right w:val="single" w:sz="6" w:space="0" w:color="auto"/>
            </w:tcBorders>
          </w:tcPr>
          <w:p w:rsidR="00712247" w:rsidRDefault="00712247">
            <w:pPr>
              <w:widowControl/>
              <w:spacing w:before="40" w:after="40"/>
              <w:ind w:left="80"/>
            </w:pPr>
            <w:r>
              <w:t>Analogic, Corp.</w:t>
            </w:r>
          </w:p>
        </w:tc>
        <w:tc>
          <w:tcPr>
            <w:tcW w:w="3413" w:type="dxa"/>
            <w:tcBorders>
              <w:left w:val="single" w:sz="6" w:space="0" w:color="auto"/>
              <w:right w:val="single" w:sz="6" w:space="0" w:color="auto"/>
            </w:tcBorders>
          </w:tcPr>
          <w:p w:rsidR="00712247" w:rsidRDefault="00712247">
            <w:pPr>
              <w:widowControl/>
              <w:spacing w:before="40" w:after="40"/>
              <w:jc w:val="center"/>
            </w:pPr>
            <w:r>
              <w:t>AN</w:t>
            </w:r>
          </w:p>
        </w:tc>
      </w:tr>
      <w:tr w:rsidR="00712247" w:rsidTr="008B4A8E">
        <w:tblPrEx>
          <w:tblCellMar>
            <w:top w:w="0" w:type="dxa"/>
            <w:bottom w:w="0" w:type="dxa"/>
          </w:tblCellMar>
        </w:tblPrEx>
        <w:trPr>
          <w:cantSplit/>
          <w:trHeight w:val="267"/>
        </w:trPr>
        <w:tc>
          <w:tcPr>
            <w:tcW w:w="3785" w:type="dxa"/>
            <w:tcBorders>
              <w:left w:val="single" w:sz="6" w:space="0" w:color="auto"/>
              <w:right w:val="single" w:sz="6" w:space="0" w:color="auto"/>
            </w:tcBorders>
          </w:tcPr>
          <w:p w:rsidR="00712247" w:rsidRDefault="00712247">
            <w:pPr>
              <w:widowControl/>
              <w:spacing w:before="40" w:after="40"/>
              <w:ind w:left="80"/>
            </w:pPr>
            <w:r>
              <w:t>Ando Electric Company Limited</w:t>
            </w:r>
          </w:p>
        </w:tc>
        <w:tc>
          <w:tcPr>
            <w:tcW w:w="3413" w:type="dxa"/>
            <w:tcBorders>
              <w:left w:val="single" w:sz="6" w:space="0" w:color="auto"/>
              <w:right w:val="single" w:sz="6" w:space="0" w:color="auto"/>
            </w:tcBorders>
          </w:tcPr>
          <w:p w:rsidR="00712247" w:rsidRDefault="00712247">
            <w:pPr>
              <w:widowControl/>
              <w:spacing w:before="40" w:after="40"/>
              <w:jc w:val="center"/>
            </w:pPr>
            <w:r>
              <w:t>AD</w:t>
            </w:r>
          </w:p>
        </w:tc>
      </w:tr>
      <w:tr w:rsidR="00712247" w:rsidTr="008B4A8E">
        <w:tblPrEx>
          <w:tblCellMar>
            <w:top w:w="0" w:type="dxa"/>
            <w:bottom w:w="0" w:type="dxa"/>
          </w:tblCellMar>
        </w:tblPrEx>
        <w:trPr>
          <w:cantSplit/>
          <w:trHeight w:val="267"/>
        </w:trPr>
        <w:tc>
          <w:tcPr>
            <w:tcW w:w="3785" w:type="dxa"/>
            <w:tcBorders>
              <w:left w:val="single" w:sz="6" w:space="0" w:color="auto"/>
              <w:right w:val="single" w:sz="6" w:space="0" w:color="auto"/>
            </w:tcBorders>
          </w:tcPr>
          <w:p w:rsidR="00712247" w:rsidRDefault="00712247">
            <w:pPr>
              <w:widowControl/>
              <w:spacing w:before="40" w:after="40"/>
              <w:ind w:left="80"/>
            </w:pPr>
            <w:r>
              <w:t>Anritsu Company</w:t>
            </w:r>
          </w:p>
        </w:tc>
        <w:tc>
          <w:tcPr>
            <w:tcW w:w="3413" w:type="dxa"/>
            <w:tcBorders>
              <w:left w:val="single" w:sz="6" w:space="0" w:color="auto"/>
              <w:right w:val="single" w:sz="6" w:space="0" w:color="auto"/>
            </w:tcBorders>
          </w:tcPr>
          <w:p w:rsidR="00712247" w:rsidRDefault="00712247">
            <w:pPr>
              <w:widowControl/>
              <w:spacing w:before="40" w:after="40"/>
              <w:jc w:val="center"/>
            </w:pPr>
            <w:r>
              <w:t>AU</w:t>
            </w:r>
          </w:p>
        </w:tc>
      </w:tr>
      <w:tr w:rsidR="00712247" w:rsidTr="008B4A8E">
        <w:tblPrEx>
          <w:tblCellMar>
            <w:top w:w="0" w:type="dxa"/>
            <w:bottom w:w="0" w:type="dxa"/>
          </w:tblCellMar>
        </w:tblPrEx>
        <w:trPr>
          <w:cantSplit/>
          <w:trHeight w:val="267"/>
        </w:trPr>
        <w:tc>
          <w:tcPr>
            <w:tcW w:w="3785" w:type="dxa"/>
            <w:tcBorders>
              <w:left w:val="single" w:sz="6" w:space="0" w:color="auto"/>
              <w:right w:val="single" w:sz="6" w:space="0" w:color="auto"/>
            </w:tcBorders>
          </w:tcPr>
          <w:p w:rsidR="00712247" w:rsidRDefault="00712247">
            <w:pPr>
              <w:widowControl/>
              <w:spacing w:before="40" w:after="40"/>
              <w:ind w:left="80"/>
            </w:pPr>
            <w:r>
              <w:t>AOIP Instrumentation</w:t>
            </w:r>
          </w:p>
        </w:tc>
        <w:tc>
          <w:tcPr>
            <w:tcW w:w="3413" w:type="dxa"/>
            <w:tcBorders>
              <w:left w:val="single" w:sz="6" w:space="0" w:color="auto"/>
              <w:right w:val="single" w:sz="6" w:space="0" w:color="auto"/>
            </w:tcBorders>
          </w:tcPr>
          <w:p w:rsidR="00712247" w:rsidRDefault="00712247">
            <w:pPr>
              <w:widowControl/>
              <w:spacing w:before="40" w:after="40"/>
              <w:jc w:val="center"/>
            </w:pPr>
            <w:r>
              <w:t>AO</w:t>
            </w:r>
          </w:p>
        </w:tc>
      </w:tr>
      <w:tr w:rsidR="00712247" w:rsidTr="008B4A8E">
        <w:tblPrEx>
          <w:tblCellMar>
            <w:top w:w="0" w:type="dxa"/>
            <w:bottom w:w="0" w:type="dxa"/>
          </w:tblCellMar>
        </w:tblPrEx>
        <w:trPr>
          <w:cantSplit/>
          <w:trHeight w:val="255"/>
        </w:trPr>
        <w:tc>
          <w:tcPr>
            <w:tcW w:w="3785" w:type="dxa"/>
            <w:tcBorders>
              <w:left w:val="single" w:sz="6" w:space="0" w:color="auto"/>
              <w:right w:val="single" w:sz="6" w:space="0" w:color="auto"/>
            </w:tcBorders>
          </w:tcPr>
          <w:p w:rsidR="00712247" w:rsidRDefault="00712247">
            <w:pPr>
              <w:widowControl/>
              <w:spacing w:before="40" w:after="40"/>
              <w:ind w:left="80"/>
            </w:pPr>
            <w:r>
              <w:t>ASCOR Incorporated</w:t>
            </w:r>
          </w:p>
        </w:tc>
        <w:tc>
          <w:tcPr>
            <w:tcW w:w="3413" w:type="dxa"/>
            <w:tcBorders>
              <w:left w:val="single" w:sz="6" w:space="0" w:color="auto"/>
              <w:right w:val="single" w:sz="6" w:space="0" w:color="auto"/>
            </w:tcBorders>
          </w:tcPr>
          <w:p w:rsidR="00712247" w:rsidRDefault="00712247">
            <w:pPr>
              <w:widowControl/>
              <w:spacing w:before="40" w:after="40"/>
              <w:jc w:val="center"/>
            </w:pPr>
            <w:r>
              <w:t>AS</w:t>
            </w:r>
          </w:p>
        </w:tc>
      </w:tr>
      <w:tr w:rsidR="00712247" w:rsidTr="008B4A8E">
        <w:tblPrEx>
          <w:tblCellMar>
            <w:top w:w="0" w:type="dxa"/>
            <w:bottom w:w="0" w:type="dxa"/>
          </w:tblCellMar>
        </w:tblPrEx>
        <w:trPr>
          <w:cantSplit/>
          <w:trHeight w:val="267"/>
        </w:trPr>
        <w:tc>
          <w:tcPr>
            <w:tcW w:w="3785" w:type="dxa"/>
            <w:tcBorders>
              <w:left w:val="single" w:sz="6" w:space="0" w:color="auto"/>
              <w:right w:val="single" w:sz="6" w:space="0" w:color="auto"/>
            </w:tcBorders>
          </w:tcPr>
          <w:p w:rsidR="00712247" w:rsidRDefault="00712247">
            <w:pPr>
              <w:widowControl/>
              <w:spacing w:before="40" w:after="40"/>
              <w:ind w:left="80"/>
            </w:pPr>
            <w:r>
              <w:t>Audio Precision, Inc</w:t>
            </w:r>
          </w:p>
        </w:tc>
        <w:tc>
          <w:tcPr>
            <w:tcW w:w="3413" w:type="dxa"/>
            <w:tcBorders>
              <w:left w:val="single" w:sz="6" w:space="0" w:color="auto"/>
              <w:right w:val="single" w:sz="6" w:space="0" w:color="auto"/>
            </w:tcBorders>
          </w:tcPr>
          <w:p w:rsidR="00712247" w:rsidRDefault="00712247">
            <w:pPr>
              <w:widowControl/>
              <w:spacing w:before="40" w:after="40"/>
              <w:jc w:val="center"/>
            </w:pPr>
            <w:r>
              <w:t>AP</w:t>
            </w:r>
          </w:p>
        </w:tc>
      </w:tr>
      <w:tr w:rsidR="00712247" w:rsidTr="008B4A8E">
        <w:tblPrEx>
          <w:tblCellMar>
            <w:top w:w="0" w:type="dxa"/>
            <w:bottom w:w="0" w:type="dxa"/>
          </w:tblCellMar>
        </w:tblPrEx>
        <w:trPr>
          <w:cantSplit/>
          <w:trHeight w:val="267"/>
        </w:trPr>
        <w:tc>
          <w:tcPr>
            <w:tcW w:w="3785" w:type="dxa"/>
            <w:tcBorders>
              <w:left w:val="single" w:sz="6" w:space="0" w:color="auto"/>
              <w:right w:val="single" w:sz="6" w:space="0" w:color="auto"/>
            </w:tcBorders>
          </w:tcPr>
          <w:p w:rsidR="00712247" w:rsidRDefault="00712247">
            <w:pPr>
              <w:widowControl/>
              <w:spacing w:before="40" w:after="40"/>
              <w:ind w:left="80"/>
            </w:pPr>
            <w:r>
              <w:t>B&amp;B Technologies</w:t>
            </w:r>
          </w:p>
        </w:tc>
        <w:tc>
          <w:tcPr>
            <w:tcW w:w="3413" w:type="dxa"/>
            <w:tcBorders>
              <w:left w:val="single" w:sz="6" w:space="0" w:color="auto"/>
              <w:right w:val="single" w:sz="6" w:space="0" w:color="auto"/>
            </w:tcBorders>
          </w:tcPr>
          <w:p w:rsidR="00712247" w:rsidRDefault="00712247">
            <w:pPr>
              <w:widowControl/>
              <w:spacing w:before="40" w:after="40"/>
              <w:jc w:val="center"/>
            </w:pPr>
            <w:r>
              <w:t>BB</w:t>
            </w:r>
          </w:p>
        </w:tc>
      </w:tr>
      <w:tr w:rsidR="00712247" w:rsidTr="008B4A8E">
        <w:tblPrEx>
          <w:tblCellMar>
            <w:top w:w="0" w:type="dxa"/>
            <w:bottom w:w="0" w:type="dxa"/>
          </w:tblCellMar>
        </w:tblPrEx>
        <w:trPr>
          <w:cantSplit/>
          <w:trHeight w:val="267"/>
        </w:trPr>
        <w:tc>
          <w:tcPr>
            <w:tcW w:w="3785" w:type="dxa"/>
            <w:tcBorders>
              <w:left w:val="single" w:sz="6" w:space="0" w:color="auto"/>
              <w:right w:val="single" w:sz="6" w:space="0" w:color="auto"/>
            </w:tcBorders>
          </w:tcPr>
          <w:p w:rsidR="00712247" w:rsidRDefault="00712247">
            <w:pPr>
              <w:widowControl/>
              <w:spacing w:before="40" w:after="40"/>
              <w:ind w:left="80"/>
            </w:pPr>
            <w:r>
              <w:t>BAE Systems</w:t>
            </w:r>
          </w:p>
        </w:tc>
        <w:tc>
          <w:tcPr>
            <w:tcW w:w="3413" w:type="dxa"/>
            <w:tcBorders>
              <w:left w:val="single" w:sz="6" w:space="0" w:color="auto"/>
              <w:right w:val="single" w:sz="6" w:space="0" w:color="auto"/>
            </w:tcBorders>
          </w:tcPr>
          <w:p w:rsidR="00712247" w:rsidRDefault="00712247">
            <w:pPr>
              <w:widowControl/>
              <w:spacing w:before="40" w:after="40"/>
              <w:jc w:val="center"/>
            </w:pPr>
            <w:r>
              <w:t>BA</w:t>
            </w:r>
          </w:p>
        </w:tc>
      </w:tr>
      <w:tr w:rsidR="00712247" w:rsidTr="008B4A8E">
        <w:tblPrEx>
          <w:tblCellMar>
            <w:top w:w="0" w:type="dxa"/>
            <w:bottom w:w="0" w:type="dxa"/>
          </w:tblCellMar>
        </w:tblPrEx>
        <w:trPr>
          <w:cantSplit/>
          <w:trHeight w:val="255"/>
        </w:trPr>
        <w:tc>
          <w:tcPr>
            <w:tcW w:w="3785" w:type="dxa"/>
            <w:tcBorders>
              <w:left w:val="single" w:sz="6" w:space="0" w:color="auto"/>
              <w:right w:val="single" w:sz="6" w:space="0" w:color="auto"/>
            </w:tcBorders>
          </w:tcPr>
          <w:p w:rsidR="00712247" w:rsidRDefault="00712247">
            <w:pPr>
              <w:widowControl/>
              <w:spacing w:before="40" w:after="40"/>
              <w:ind w:left="80"/>
            </w:pPr>
            <w:r>
              <w:t>Bruel &amp; Kjaer</w:t>
            </w:r>
          </w:p>
        </w:tc>
        <w:tc>
          <w:tcPr>
            <w:tcW w:w="3413" w:type="dxa"/>
            <w:tcBorders>
              <w:left w:val="single" w:sz="6" w:space="0" w:color="auto"/>
              <w:right w:val="single" w:sz="6" w:space="0" w:color="auto"/>
            </w:tcBorders>
          </w:tcPr>
          <w:p w:rsidR="00712247" w:rsidRDefault="00712247">
            <w:pPr>
              <w:widowControl/>
              <w:spacing w:before="40" w:after="40"/>
              <w:jc w:val="center"/>
            </w:pPr>
            <w:r>
              <w:t>BK</w:t>
            </w:r>
          </w:p>
        </w:tc>
      </w:tr>
      <w:tr w:rsidR="00712247" w:rsidTr="008B4A8E">
        <w:tblPrEx>
          <w:tblCellMar>
            <w:top w:w="0" w:type="dxa"/>
            <w:bottom w:w="0" w:type="dxa"/>
          </w:tblCellMar>
        </w:tblPrEx>
        <w:trPr>
          <w:cantSplit/>
          <w:trHeight w:val="267"/>
        </w:trPr>
        <w:tc>
          <w:tcPr>
            <w:tcW w:w="3785" w:type="dxa"/>
            <w:tcBorders>
              <w:left w:val="single" w:sz="6" w:space="0" w:color="auto"/>
              <w:right w:val="single" w:sz="6" w:space="0" w:color="auto"/>
            </w:tcBorders>
          </w:tcPr>
          <w:p w:rsidR="00712247" w:rsidRDefault="00712247">
            <w:pPr>
              <w:widowControl/>
              <w:spacing w:before="40" w:after="40"/>
              <w:ind w:left="80"/>
            </w:pPr>
            <w:r>
              <w:t>Bustec Production Ltd.</w:t>
            </w:r>
          </w:p>
        </w:tc>
        <w:tc>
          <w:tcPr>
            <w:tcW w:w="3413" w:type="dxa"/>
            <w:tcBorders>
              <w:left w:val="single" w:sz="6" w:space="0" w:color="auto"/>
              <w:right w:val="single" w:sz="6" w:space="0" w:color="auto"/>
            </w:tcBorders>
          </w:tcPr>
          <w:p w:rsidR="00712247" w:rsidRDefault="00712247">
            <w:pPr>
              <w:widowControl/>
              <w:spacing w:before="40" w:after="40"/>
              <w:jc w:val="center"/>
            </w:pPr>
            <w:r>
              <w:t>BU</w:t>
            </w:r>
          </w:p>
        </w:tc>
      </w:tr>
      <w:tr w:rsidR="00712247" w:rsidTr="008B4A8E">
        <w:tblPrEx>
          <w:tblCellMar>
            <w:top w:w="0" w:type="dxa"/>
            <w:bottom w:w="0" w:type="dxa"/>
          </w:tblCellMar>
        </w:tblPrEx>
        <w:trPr>
          <w:cantSplit/>
          <w:trHeight w:val="267"/>
        </w:trPr>
        <w:tc>
          <w:tcPr>
            <w:tcW w:w="3785" w:type="dxa"/>
            <w:tcBorders>
              <w:left w:val="single" w:sz="6" w:space="0" w:color="auto"/>
              <w:right w:val="single" w:sz="6" w:space="0" w:color="auto"/>
            </w:tcBorders>
          </w:tcPr>
          <w:p w:rsidR="00712247" w:rsidRDefault="00712247">
            <w:pPr>
              <w:widowControl/>
              <w:spacing w:before="40" w:after="40"/>
              <w:ind w:left="80"/>
            </w:pPr>
            <w:r>
              <w:t>CAL-AV Labs, Inc.</w:t>
            </w:r>
          </w:p>
        </w:tc>
        <w:tc>
          <w:tcPr>
            <w:tcW w:w="3413" w:type="dxa"/>
            <w:tcBorders>
              <w:left w:val="single" w:sz="6" w:space="0" w:color="auto"/>
              <w:right w:val="single" w:sz="6" w:space="0" w:color="auto"/>
            </w:tcBorders>
          </w:tcPr>
          <w:p w:rsidR="00712247" w:rsidRDefault="00712247">
            <w:pPr>
              <w:widowControl/>
              <w:spacing w:before="40" w:after="40"/>
              <w:jc w:val="center"/>
            </w:pPr>
            <w:r>
              <w:t>CA</w:t>
            </w:r>
          </w:p>
        </w:tc>
      </w:tr>
      <w:tr w:rsidR="00712247" w:rsidTr="008B4A8E">
        <w:tblPrEx>
          <w:tblCellMar>
            <w:top w:w="0" w:type="dxa"/>
            <w:bottom w:w="0" w:type="dxa"/>
          </w:tblCellMar>
        </w:tblPrEx>
        <w:trPr>
          <w:cantSplit/>
          <w:trHeight w:val="255"/>
        </w:trPr>
        <w:tc>
          <w:tcPr>
            <w:tcW w:w="3785" w:type="dxa"/>
            <w:tcBorders>
              <w:left w:val="single" w:sz="6" w:space="0" w:color="auto"/>
              <w:right w:val="single" w:sz="6" w:space="0" w:color="auto"/>
            </w:tcBorders>
          </w:tcPr>
          <w:p w:rsidR="00712247" w:rsidRDefault="00712247">
            <w:pPr>
              <w:widowControl/>
              <w:spacing w:before="40" w:after="40"/>
              <w:ind w:left="80"/>
            </w:pPr>
            <w:r>
              <w:t>C&amp;H Technologies, Inc.</w:t>
            </w:r>
          </w:p>
        </w:tc>
        <w:tc>
          <w:tcPr>
            <w:tcW w:w="3413" w:type="dxa"/>
            <w:tcBorders>
              <w:left w:val="single" w:sz="6" w:space="0" w:color="auto"/>
              <w:right w:val="single" w:sz="6" w:space="0" w:color="auto"/>
            </w:tcBorders>
          </w:tcPr>
          <w:p w:rsidR="00712247" w:rsidRDefault="00712247">
            <w:pPr>
              <w:widowControl/>
              <w:spacing w:before="40" w:after="40"/>
              <w:jc w:val="center"/>
            </w:pPr>
            <w:r>
              <w:t>CH</w:t>
            </w:r>
          </w:p>
        </w:tc>
      </w:tr>
      <w:tr w:rsidR="00712247" w:rsidTr="008B4A8E">
        <w:tblPrEx>
          <w:tblCellMar>
            <w:top w:w="0" w:type="dxa"/>
            <w:bottom w:w="0" w:type="dxa"/>
          </w:tblCellMar>
        </w:tblPrEx>
        <w:trPr>
          <w:cantSplit/>
          <w:trHeight w:val="267"/>
        </w:trPr>
        <w:tc>
          <w:tcPr>
            <w:tcW w:w="3785" w:type="dxa"/>
            <w:tcBorders>
              <w:left w:val="single" w:sz="6" w:space="0" w:color="auto"/>
              <w:right w:val="single" w:sz="6" w:space="0" w:color="auto"/>
            </w:tcBorders>
          </w:tcPr>
          <w:p w:rsidR="00712247" w:rsidRDefault="00712247">
            <w:pPr>
              <w:widowControl/>
              <w:spacing w:before="40" w:after="40"/>
              <w:ind w:left="80"/>
            </w:pPr>
            <w:r>
              <w:t>Compressor Controls Corporation</w:t>
            </w:r>
          </w:p>
        </w:tc>
        <w:tc>
          <w:tcPr>
            <w:tcW w:w="3413" w:type="dxa"/>
            <w:tcBorders>
              <w:left w:val="single" w:sz="6" w:space="0" w:color="auto"/>
              <w:right w:val="single" w:sz="6" w:space="0" w:color="auto"/>
            </w:tcBorders>
          </w:tcPr>
          <w:p w:rsidR="00712247" w:rsidRDefault="00712247">
            <w:pPr>
              <w:widowControl/>
              <w:spacing w:before="40" w:after="40"/>
              <w:jc w:val="center"/>
            </w:pPr>
            <w:r>
              <w:t>CC</w:t>
            </w:r>
          </w:p>
        </w:tc>
      </w:tr>
      <w:tr w:rsidR="00712247" w:rsidTr="008B4A8E">
        <w:tblPrEx>
          <w:tblCellMar>
            <w:top w:w="0" w:type="dxa"/>
            <w:bottom w:w="0" w:type="dxa"/>
          </w:tblCellMar>
        </w:tblPrEx>
        <w:trPr>
          <w:cantSplit/>
          <w:trHeight w:val="267"/>
        </w:trPr>
        <w:tc>
          <w:tcPr>
            <w:tcW w:w="3785" w:type="dxa"/>
            <w:tcBorders>
              <w:left w:val="single" w:sz="6" w:space="0" w:color="auto"/>
              <w:right w:val="single" w:sz="6" w:space="0" w:color="auto"/>
            </w:tcBorders>
          </w:tcPr>
          <w:p w:rsidR="00712247" w:rsidRDefault="00712247">
            <w:pPr>
              <w:widowControl/>
              <w:spacing w:before="40" w:after="40"/>
              <w:ind w:left="80"/>
            </w:pPr>
            <w:r>
              <w:t>CYTEC Corporation</w:t>
            </w:r>
          </w:p>
        </w:tc>
        <w:tc>
          <w:tcPr>
            <w:tcW w:w="3413" w:type="dxa"/>
            <w:tcBorders>
              <w:left w:val="single" w:sz="6" w:space="0" w:color="auto"/>
              <w:right w:val="single" w:sz="6" w:space="0" w:color="auto"/>
            </w:tcBorders>
          </w:tcPr>
          <w:p w:rsidR="00712247" w:rsidRDefault="00712247">
            <w:pPr>
              <w:widowControl/>
              <w:spacing w:before="40" w:after="40"/>
              <w:jc w:val="center"/>
            </w:pPr>
            <w:r>
              <w:t>CY</w:t>
            </w:r>
          </w:p>
        </w:tc>
      </w:tr>
      <w:tr w:rsidR="00712247" w:rsidTr="008B4A8E">
        <w:tblPrEx>
          <w:tblCellMar>
            <w:top w:w="0" w:type="dxa"/>
            <w:bottom w:w="0" w:type="dxa"/>
          </w:tblCellMar>
        </w:tblPrEx>
        <w:trPr>
          <w:cantSplit/>
          <w:trHeight w:val="255"/>
        </w:trPr>
        <w:tc>
          <w:tcPr>
            <w:tcW w:w="3785" w:type="dxa"/>
            <w:tcBorders>
              <w:left w:val="single" w:sz="6" w:space="0" w:color="auto"/>
              <w:right w:val="single" w:sz="6" w:space="0" w:color="auto"/>
            </w:tcBorders>
          </w:tcPr>
          <w:p w:rsidR="00712247" w:rsidRDefault="00712247">
            <w:pPr>
              <w:widowControl/>
              <w:spacing w:before="40" w:after="40"/>
              <w:ind w:left="80"/>
            </w:pPr>
            <w:r>
              <w:t>Directed Perceptions Inc.</w:t>
            </w:r>
          </w:p>
        </w:tc>
        <w:tc>
          <w:tcPr>
            <w:tcW w:w="3413" w:type="dxa"/>
            <w:tcBorders>
              <w:left w:val="single" w:sz="6" w:space="0" w:color="auto"/>
              <w:right w:val="single" w:sz="6" w:space="0" w:color="auto"/>
            </w:tcBorders>
          </w:tcPr>
          <w:p w:rsidR="00712247" w:rsidRDefault="00712247">
            <w:pPr>
              <w:widowControl/>
              <w:spacing w:before="40" w:after="40"/>
              <w:jc w:val="center"/>
            </w:pPr>
            <w:r>
              <w:t>DP</w:t>
            </w:r>
          </w:p>
        </w:tc>
      </w:tr>
      <w:tr w:rsidR="00712247" w:rsidTr="008B4A8E">
        <w:tblPrEx>
          <w:tblCellMar>
            <w:top w:w="0" w:type="dxa"/>
            <w:bottom w:w="0" w:type="dxa"/>
          </w:tblCellMar>
        </w:tblPrEx>
        <w:trPr>
          <w:cantSplit/>
          <w:trHeight w:val="267"/>
        </w:trPr>
        <w:tc>
          <w:tcPr>
            <w:tcW w:w="3785" w:type="dxa"/>
            <w:tcBorders>
              <w:left w:val="single" w:sz="6" w:space="0" w:color="auto"/>
              <w:right w:val="single" w:sz="6" w:space="0" w:color="auto"/>
            </w:tcBorders>
          </w:tcPr>
          <w:p w:rsidR="00712247" w:rsidRDefault="00712247">
            <w:pPr>
              <w:widowControl/>
              <w:spacing w:before="40" w:after="40"/>
              <w:ind w:left="80"/>
            </w:pPr>
            <w:r>
              <w:t>DSP Technology Inc.</w:t>
            </w:r>
          </w:p>
        </w:tc>
        <w:tc>
          <w:tcPr>
            <w:tcW w:w="3413" w:type="dxa"/>
            <w:tcBorders>
              <w:left w:val="single" w:sz="6" w:space="0" w:color="auto"/>
              <w:right w:val="single" w:sz="6" w:space="0" w:color="auto"/>
            </w:tcBorders>
          </w:tcPr>
          <w:p w:rsidR="00712247" w:rsidRDefault="00712247">
            <w:pPr>
              <w:widowControl/>
              <w:spacing w:before="40" w:after="40"/>
              <w:jc w:val="center"/>
            </w:pPr>
            <w:r>
              <w:t>DS</w:t>
            </w:r>
          </w:p>
        </w:tc>
      </w:tr>
      <w:tr w:rsidR="00712247" w:rsidTr="008B4A8E">
        <w:tblPrEx>
          <w:tblCellMar>
            <w:top w:w="0" w:type="dxa"/>
            <w:bottom w:w="0" w:type="dxa"/>
          </w:tblCellMar>
        </w:tblPrEx>
        <w:trPr>
          <w:cantSplit/>
          <w:trHeight w:val="267"/>
        </w:trPr>
        <w:tc>
          <w:tcPr>
            <w:tcW w:w="3785" w:type="dxa"/>
            <w:tcBorders>
              <w:left w:val="single" w:sz="6" w:space="0" w:color="auto"/>
              <w:right w:val="single" w:sz="6" w:space="0" w:color="auto"/>
            </w:tcBorders>
          </w:tcPr>
          <w:p w:rsidR="00712247" w:rsidRDefault="00712247">
            <w:pPr>
              <w:widowControl/>
              <w:spacing w:before="40" w:after="40"/>
              <w:ind w:left="80"/>
            </w:pPr>
            <w:r>
              <w:t>EIP Microwave, Inc.</w:t>
            </w:r>
          </w:p>
        </w:tc>
        <w:tc>
          <w:tcPr>
            <w:tcW w:w="3413" w:type="dxa"/>
            <w:tcBorders>
              <w:left w:val="single" w:sz="6" w:space="0" w:color="auto"/>
              <w:right w:val="single" w:sz="6" w:space="0" w:color="auto"/>
            </w:tcBorders>
          </w:tcPr>
          <w:p w:rsidR="00712247" w:rsidRDefault="00712247">
            <w:pPr>
              <w:widowControl/>
              <w:spacing w:before="40" w:after="40"/>
              <w:jc w:val="center"/>
            </w:pPr>
            <w:r>
              <w:t>EI</w:t>
            </w:r>
          </w:p>
        </w:tc>
      </w:tr>
      <w:tr w:rsidR="00712247" w:rsidTr="008B4A8E">
        <w:tblPrEx>
          <w:tblCellMar>
            <w:top w:w="0" w:type="dxa"/>
            <w:bottom w:w="0" w:type="dxa"/>
          </w:tblCellMar>
        </w:tblPrEx>
        <w:trPr>
          <w:cantSplit/>
          <w:trHeight w:val="255"/>
        </w:trPr>
        <w:tc>
          <w:tcPr>
            <w:tcW w:w="3785" w:type="dxa"/>
            <w:tcBorders>
              <w:left w:val="single" w:sz="6" w:space="0" w:color="auto"/>
              <w:right w:val="single" w:sz="6" w:space="0" w:color="auto"/>
            </w:tcBorders>
          </w:tcPr>
          <w:p w:rsidR="00712247" w:rsidRDefault="00712247">
            <w:pPr>
              <w:widowControl/>
              <w:spacing w:before="40" w:after="40"/>
              <w:ind w:left="80"/>
            </w:pPr>
            <w:r>
              <w:t>Fluke Company Inc.</w:t>
            </w:r>
          </w:p>
        </w:tc>
        <w:tc>
          <w:tcPr>
            <w:tcW w:w="3413" w:type="dxa"/>
            <w:tcBorders>
              <w:left w:val="single" w:sz="6" w:space="0" w:color="auto"/>
              <w:right w:val="single" w:sz="6" w:space="0" w:color="auto"/>
            </w:tcBorders>
          </w:tcPr>
          <w:p w:rsidR="00712247" w:rsidRDefault="00712247">
            <w:pPr>
              <w:widowControl/>
              <w:spacing w:before="40" w:after="40"/>
              <w:jc w:val="center"/>
            </w:pPr>
            <w:r>
              <w:t>FL</w:t>
            </w:r>
          </w:p>
        </w:tc>
      </w:tr>
      <w:tr w:rsidR="00712247" w:rsidTr="008B4A8E">
        <w:tblPrEx>
          <w:tblCellMar>
            <w:top w:w="0" w:type="dxa"/>
            <w:bottom w:w="0" w:type="dxa"/>
          </w:tblCellMar>
        </w:tblPrEx>
        <w:trPr>
          <w:cantSplit/>
          <w:trHeight w:val="267"/>
        </w:trPr>
        <w:tc>
          <w:tcPr>
            <w:tcW w:w="3785" w:type="dxa"/>
            <w:tcBorders>
              <w:left w:val="single" w:sz="6" w:space="0" w:color="auto"/>
              <w:right w:val="single" w:sz="6" w:space="0" w:color="auto"/>
            </w:tcBorders>
          </w:tcPr>
          <w:p w:rsidR="00712247" w:rsidRDefault="00712247">
            <w:pPr>
              <w:widowControl/>
              <w:spacing w:before="40" w:after="40"/>
              <w:ind w:left="80"/>
            </w:pPr>
            <w:r>
              <w:t>GenRad</w:t>
            </w:r>
          </w:p>
        </w:tc>
        <w:tc>
          <w:tcPr>
            <w:tcW w:w="3413" w:type="dxa"/>
            <w:tcBorders>
              <w:left w:val="single" w:sz="6" w:space="0" w:color="auto"/>
              <w:right w:val="single" w:sz="6" w:space="0" w:color="auto"/>
            </w:tcBorders>
          </w:tcPr>
          <w:p w:rsidR="00712247" w:rsidRDefault="00712247">
            <w:pPr>
              <w:widowControl/>
              <w:spacing w:before="40" w:after="40"/>
              <w:jc w:val="center"/>
            </w:pPr>
            <w:r>
              <w:t>GR</w:t>
            </w:r>
          </w:p>
        </w:tc>
      </w:tr>
      <w:tr w:rsidR="00712247" w:rsidTr="008B4A8E">
        <w:tblPrEx>
          <w:tblCellMar>
            <w:top w:w="0" w:type="dxa"/>
            <w:bottom w:w="0" w:type="dxa"/>
          </w:tblCellMar>
        </w:tblPrEx>
        <w:trPr>
          <w:cantSplit/>
          <w:trHeight w:val="267"/>
        </w:trPr>
        <w:tc>
          <w:tcPr>
            <w:tcW w:w="3785" w:type="dxa"/>
            <w:tcBorders>
              <w:left w:val="single" w:sz="6" w:space="0" w:color="auto"/>
              <w:right w:val="single" w:sz="6" w:space="0" w:color="auto"/>
            </w:tcBorders>
          </w:tcPr>
          <w:p w:rsidR="00712247" w:rsidRDefault="00712247">
            <w:pPr>
              <w:widowControl/>
              <w:spacing w:before="40" w:after="40"/>
              <w:ind w:left="80"/>
            </w:pPr>
            <w:r>
              <w:t>Giga-tronics, Inc.</w:t>
            </w:r>
          </w:p>
        </w:tc>
        <w:tc>
          <w:tcPr>
            <w:tcW w:w="3413" w:type="dxa"/>
            <w:tcBorders>
              <w:left w:val="single" w:sz="6" w:space="0" w:color="auto"/>
              <w:right w:val="single" w:sz="6" w:space="0" w:color="auto"/>
            </w:tcBorders>
          </w:tcPr>
          <w:p w:rsidR="00712247" w:rsidRDefault="00712247">
            <w:pPr>
              <w:widowControl/>
              <w:spacing w:before="40" w:after="40"/>
              <w:jc w:val="center"/>
            </w:pPr>
            <w:r>
              <w:t>GT</w:t>
            </w:r>
          </w:p>
        </w:tc>
      </w:tr>
      <w:tr w:rsidR="00712247" w:rsidTr="008B4A8E">
        <w:tblPrEx>
          <w:tblCellMar>
            <w:top w:w="0" w:type="dxa"/>
            <w:bottom w:w="0" w:type="dxa"/>
          </w:tblCellMar>
        </w:tblPrEx>
        <w:trPr>
          <w:cantSplit/>
          <w:trHeight w:val="255"/>
        </w:trPr>
        <w:tc>
          <w:tcPr>
            <w:tcW w:w="3785" w:type="dxa"/>
            <w:tcBorders>
              <w:left w:val="single" w:sz="6" w:space="0" w:color="auto"/>
              <w:right w:val="single" w:sz="6" w:space="0" w:color="auto"/>
            </w:tcBorders>
          </w:tcPr>
          <w:p w:rsidR="00712247" w:rsidRDefault="00712247">
            <w:pPr>
              <w:widowControl/>
              <w:spacing w:before="40" w:after="40"/>
              <w:ind w:left="80"/>
            </w:pPr>
            <w:r>
              <w:t>gnubi communications, Inc.</w:t>
            </w:r>
          </w:p>
        </w:tc>
        <w:tc>
          <w:tcPr>
            <w:tcW w:w="3413" w:type="dxa"/>
            <w:tcBorders>
              <w:left w:val="single" w:sz="6" w:space="0" w:color="auto"/>
              <w:right w:val="single" w:sz="6" w:space="0" w:color="auto"/>
            </w:tcBorders>
          </w:tcPr>
          <w:p w:rsidR="00712247" w:rsidRDefault="00712247">
            <w:pPr>
              <w:widowControl/>
              <w:spacing w:before="40" w:after="40"/>
              <w:jc w:val="center"/>
            </w:pPr>
            <w:r>
              <w:t>GN</w:t>
            </w:r>
          </w:p>
        </w:tc>
      </w:tr>
      <w:tr w:rsidR="00712247" w:rsidTr="008B4A8E">
        <w:tblPrEx>
          <w:tblCellMar>
            <w:top w:w="0" w:type="dxa"/>
            <w:bottom w:w="0" w:type="dxa"/>
          </w:tblCellMar>
        </w:tblPrEx>
        <w:trPr>
          <w:cantSplit/>
          <w:trHeight w:val="267"/>
        </w:trPr>
        <w:tc>
          <w:tcPr>
            <w:tcW w:w="3785" w:type="dxa"/>
            <w:tcBorders>
              <w:left w:val="single" w:sz="6" w:space="0" w:color="auto"/>
            </w:tcBorders>
          </w:tcPr>
          <w:p w:rsidR="00712247" w:rsidRDefault="00712247">
            <w:pPr>
              <w:widowControl/>
              <w:spacing w:before="40" w:after="40"/>
              <w:ind w:left="80"/>
            </w:pPr>
            <w:r>
              <w:t>Hewlett-Packard Company</w:t>
            </w:r>
          </w:p>
        </w:tc>
        <w:tc>
          <w:tcPr>
            <w:tcW w:w="3413" w:type="dxa"/>
            <w:tcBorders>
              <w:left w:val="single" w:sz="6" w:space="0" w:color="auto"/>
              <w:right w:val="single" w:sz="6" w:space="0" w:color="auto"/>
            </w:tcBorders>
          </w:tcPr>
          <w:p w:rsidR="00712247" w:rsidRDefault="00712247">
            <w:pPr>
              <w:widowControl/>
              <w:spacing w:before="40" w:after="40"/>
              <w:jc w:val="center"/>
            </w:pPr>
            <w:r>
              <w:t>HP</w:t>
            </w:r>
          </w:p>
        </w:tc>
      </w:tr>
      <w:tr w:rsidR="00826442" w:rsidTr="008B4A8E">
        <w:tblPrEx>
          <w:tblCellMar>
            <w:top w:w="0" w:type="dxa"/>
            <w:bottom w:w="0" w:type="dxa"/>
          </w:tblCellMar>
        </w:tblPrEx>
        <w:trPr>
          <w:cantSplit/>
          <w:trHeight w:val="267"/>
        </w:trPr>
        <w:tc>
          <w:tcPr>
            <w:tcW w:w="3785" w:type="dxa"/>
            <w:tcBorders>
              <w:left w:val="single" w:sz="6" w:space="0" w:color="auto"/>
            </w:tcBorders>
          </w:tcPr>
          <w:p w:rsidR="00826442" w:rsidRDefault="00826442">
            <w:pPr>
              <w:widowControl/>
              <w:spacing w:before="40" w:after="40"/>
              <w:ind w:left="80"/>
              <w:rPr>
                <w:color w:val="000000"/>
              </w:rPr>
            </w:pPr>
            <w:r>
              <w:rPr>
                <w:color w:val="000000"/>
              </w:rPr>
              <w:t>Holding “Informtest”</w:t>
            </w:r>
          </w:p>
        </w:tc>
        <w:tc>
          <w:tcPr>
            <w:tcW w:w="3413" w:type="dxa"/>
            <w:tcBorders>
              <w:left w:val="single" w:sz="6" w:space="0" w:color="auto"/>
              <w:right w:val="single" w:sz="6" w:space="0" w:color="auto"/>
            </w:tcBorders>
          </w:tcPr>
          <w:p w:rsidR="00826442" w:rsidRPr="00826442" w:rsidRDefault="00826442">
            <w:pPr>
              <w:widowControl/>
              <w:spacing w:before="40" w:after="40"/>
              <w:jc w:val="center"/>
            </w:pPr>
            <w:r w:rsidRPr="00826442">
              <w:t>UN</w:t>
            </w:r>
          </w:p>
        </w:tc>
      </w:tr>
      <w:tr w:rsidR="009D27A8" w:rsidTr="008B4A8E">
        <w:tblPrEx>
          <w:tblCellMar>
            <w:top w:w="0" w:type="dxa"/>
            <w:bottom w:w="0" w:type="dxa"/>
          </w:tblCellMar>
        </w:tblPrEx>
        <w:trPr>
          <w:cantSplit/>
          <w:trHeight w:val="255"/>
        </w:trPr>
        <w:tc>
          <w:tcPr>
            <w:tcW w:w="3785" w:type="dxa"/>
            <w:tcBorders>
              <w:left w:val="single" w:sz="6" w:space="0" w:color="auto"/>
            </w:tcBorders>
          </w:tcPr>
          <w:p w:rsidR="009D27A8" w:rsidRDefault="009D27A8">
            <w:pPr>
              <w:widowControl/>
              <w:spacing w:before="40" w:after="40"/>
              <w:ind w:left="80"/>
            </w:pPr>
            <w:r>
              <w:rPr>
                <w:color w:val="000000"/>
              </w:rPr>
              <w:t>IBEKO POWER AB</w:t>
            </w:r>
          </w:p>
        </w:tc>
        <w:tc>
          <w:tcPr>
            <w:tcW w:w="3413" w:type="dxa"/>
            <w:tcBorders>
              <w:left w:val="single" w:sz="6" w:space="0" w:color="auto"/>
              <w:right w:val="single" w:sz="6" w:space="0" w:color="auto"/>
            </w:tcBorders>
          </w:tcPr>
          <w:p w:rsidR="009D27A8" w:rsidRDefault="009D27A8">
            <w:pPr>
              <w:widowControl/>
              <w:spacing w:before="40" w:after="40"/>
              <w:jc w:val="center"/>
            </w:pPr>
            <w:r>
              <w:t>DV</w:t>
            </w:r>
          </w:p>
        </w:tc>
      </w:tr>
      <w:tr w:rsidR="00712247" w:rsidTr="008B4A8E">
        <w:tblPrEx>
          <w:tblCellMar>
            <w:top w:w="0" w:type="dxa"/>
            <w:bottom w:w="0" w:type="dxa"/>
          </w:tblCellMar>
        </w:tblPrEx>
        <w:trPr>
          <w:cantSplit/>
          <w:trHeight w:val="267"/>
        </w:trPr>
        <w:tc>
          <w:tcPr>
            <w:tcW w:w="3785" w:type="dxa"/>
            <w:tcBorders>
              <w:left w:val="single" w:sz="6" w:space="0" w:color="auto"/>
            </w:tcBorders>
          </w:tcPr>
          <w:p w:rsidR="00712247" w:rsidRDefault="00712247">
            <w:pPr>
              <w:widowControl/>
              <w:spacing w:before="40" w:after="40"/>
              <w:ind w:left="80"/>
            </w:pPr>
            <w:r>
              <w:t>IFR</w:t>
            </w:r>
          </w:p>
        </w:tc>
        <w:tc>
          <w:tcPr>
            <w:tcW w:w="3413" w:type="dxa"/>
            <w:tcBorders>
              <w:left w:val="single" w:sz="6" w:space="0" w:color="auto"/>
              <w:right w:val="single" w:sz="6" w:space="0" w:color="auto"/>
            </w:tcBorders>
          </w:tcPr>
          <w:p w:rsidR="00712247" w:rsidRDefault="00712247">
            <w:pPr>
              <w:widowControl/>
              <w:spacing w:before="40" w:after="40"/>
              <w:jc w:val="center"/>
            </w:pPr>
            <w:r>
              <w:t>IF</w:t>
            </w:r>
          </w:p>
        </w:tc>
      </w:tr>
      <w:tr w:rsidR="00712247" w:rsidTr="008B4A8E">
        <w:tblPrEx>
          <w:tblCellMar>
            <w:top w:w="0" w:type="dxa"/>
            <w:bottom w:w="0" w:type="dxa"/>
          </w:tblCellMar>
        </w:tblPrEx>
        <w:trPr>
          <w:cantSplit/>
          <w:trHeight w:val="267"/>
        </w:trPr>
        <w:tc>
          <w:tcPr>
            <w:tcW w:w="3785" w:type="dxa"/>
            <w:tcBorders>
              <w:left w:val="single" w:sz="6" w:space="0" w:color="auto"/>
              <w:right w:val="single" w:sz="6" w:space="0" w:color="auto"/>
            </w:tcBorders>
          </w:tcPr>
          <w:p w:rsidR="00712247" w:rsidRDefault="00712247">
            <w:pPr>
              <w:widowControl/>
              <w:spacing w:before="40" w:after="40"/>
              <w:ind w:left="80"/>
            </w:pPr>
            <w:r>
              <w:t>Instrumentation Engineering, Inc.</w:t>
            </w:r>
          </w:p>
        </w:tc>
        <w:tc>
          <w:tcPr>
            <w:tcW w:w="3413" w:type="dxa"/>
            <w:tcBorders>
              <w:left w:val="single" w:sz="6" w:space="0" w:color="auto"/>
              <w:right w:val="single" w:sz="6" w:space="0" w:color="auto"/>
            </w:tcBorders>
          </w:tcPr>
          <w:p w:rsidR="00712247" w:rsidRDefault="00712247">
            <w:pPr>
              <w:widowControl/>
              <w:spacing w:before="40" w:after="40"/>
              <w:jc w:val="center"/>
            </w:pPr>
            <w:r>
              <w:t>IE</w:t>
            </w:r>
          </w:p>
        </w:tc>
      </w:tr>
      <w:tr w:rsidR="00712247" w:rsidTr="008B4A8E">
        <w:tblPrEx>
          <w:tblCellMar>
            <w:top w:w="0" w:type="dxa"/>
            <w:bottom w:w="0" w:type="dxa"/>
          </w:tblCellMar>
        </w:tblPrEx>
        <w:trPr>
          <w:cantSplit/>
          <w:trHeight w:val="255"/>
        </w:trPr>
        <w:tc>
          <w:tcPr>
            <w:tcW w:w="3785" w:type="dxa"/>
            <w:tcBorders>
              <w:left w:val="single" w:sz="6" w:space="0" w:color="auto"/>
              <w:right w:val="single" w:sz="6" w:space="0" w:color="auto"/>
            </w:tcBorders>
          </w:tcPr>
          <w:p w:rsidR="00712247" w:rsidRDefault="00712247">
            <w:pPr>
              <w:widowControl/>
              <w:spacing w:before="40" w:after="40"/>
              <w:ind w:left="80"/>
            </w:pPr>
            <w:r>
              <w:t>Integrated Control Systems</w:t>
            </w:r>
          </w:p>
        </w:tc>
        <w:tc>
          <w:tcPr>
            <w:tcW w:w="3413" w:type="dxa"/>
            <w:tcBorders>
              <w:left w:val="single" w:sz="6" w:space="0" w:color="auto"/>
              <w:right w:val="single" w:sz="6" w:space="0" w:color="auto"/>
            </w:tcBorders>
          </w:tcPr>
          <w:p w:rsidR="00712247" w:rsidRDefault="00712247">
            <w:pPr>
              <w:widowControl/>
              <w:spacing w:before="40" w:after="40"/>
              <w:jc w:val="center"/>
            </w:pPr>
            <w:r>
              <w:t>IC</w:t>
            </w:r>
          </w:p>
        </w:tc>
      </w:tr>
      <w:tr w:rsidR="00712247" w:rsidTr="008B4A8E">
        <w:tblPrEx>
          <w:tblCellMar>
            <w:top w:w="0" w:type="dxa"/>
            <w:bottom w:w="0" w:type="dxa"/>
          </w:tblCellMar>
        </w:tblPrEx>
        <w:trPr>
          <w:cantSplit/>
          <w:trHeight w:val="267"/>
        </w:trPr>
        <w:tc>
          <w:tcPr>
            <w:tcW w:w="3785" w:type="dxa"/>
            <w:tcBorders>
              <w:left w:val="single" w:sz="6" w:space="0" w:color="auto"/>
              <w:right w:val="single" w:sz="6" w:space="0" w:color="auto"/>
            </w:tcBorders>
          </w:tcPr>
          <w:p w:rsidR="00712247" w:rsidRDefault="00712247">
            <w:pPr>
              <w:widowControl/>
              <w:spacing w:before="40" w:after="40"/>
              <w:ind w:left="80"/>
            </w:pPr>
            <w:r>
              <w:t>Keithley Instruments</w:t>
            </w:r>
          </w:p>
        </w:tc>
        <w:tc>
          <w:tcPr>
            <w:tcW w:w="3413" w:type="dxa"/>
            <w:tcBorders>
              <w:left w:val="single" w:sz="6" w:space="0" w:color="auto"/>
              <w:right w:val="single" w:sz="6" w:space="0" w:color="auto"/>
            </w:tcBorders>
          </w:tcPr>
          <w:p w:rsidR="00712247" w:rsidRDefault="00712247">
            <w:pPr>
              <w:widowControl/>
              <w:spacing w:before="40" w:after="40"/>
              <w:jc w:val="center"/>
            </w:pPr>
            <w:r>
              <w:t>KE</w:t>
            </w:r>
          </w:p>
        </w:tc>
      </w:tr>
      <w:tr w:rsidR="00712247" w:rsidTr="008B4A8E">
        <w:tblPrEx>
          <w:tblCellMar>
            <w:top w:w="0" w:type="dxa"/>
            <w:bottom w:w="0" w:type="dxa"/>
          </w:tblCellMar>
        </w:tblPrEx>
        <w:trPr>
          <w:cantSplit/>
          <w:trHeight w:val="267"/>
        </w:trPr>
        <w:tc>
          <w:tcPr>
            <w:tcW w:w="3785" w:type="dxa"/>
            <w:tcBorders>
              <w:left w:val="single" w:sz="6" w:space="0" w:color="auto"/>
              <w:right w:val="single" w:sz="6" w:space="0" w:color="auto"/>
            </w:tcBorders>
          </w:tcPr>
          <w:p w:rsidR="00712247" w:rsidRDefault="00712247">
            <w:pPr>
              <w:widowControl/>
              <w:spacing w:before="40" w:after="40"/>
              <w:ind w:left="80"/>
            </w:pPr>
            <w:r>
              <w:t>Kepco, Inc.</w:t>
            </w:r>
          </w:p>
        </w:tc>
        <w:tc>
          <w:tcPr>
            <w:tcW w:w="3413" w:type="dxa"/>
            <w:tcBorders>
              <w:left w:val="single" w:sz="6" w:space="0" w:color="auto"/>
              <w:right w:val="single" w:sz="6" w:space="0" w:color="auto"/>
            </w:tcBorders>
          </w:tcPr>
          <w:p w:rsidR="00712247" w:rsidRDefault="00712247">
            <w:pPr>
              <w:widowControl/>
              <w:spacing w:before="40" w:after="40"/>
              <w:jc w:val="center"/>
            </w:pPr>
            <w:r>
              <w:t>KP</w:t>
            </w:r>
          </w:p>
        </w:tc>
      </w:tr>
      <w:tr w:rsidR="00712247" w:rsidTr="008B4A8E">
        <w:tblPrEx>
          <w:tblCellMar>
            <w:top w:w="0" w:type="dxa"/>
            <w:bottom w:w="0" w:type="dxa"/>
          </w:tblCellMar>
        </w:tblPrEx>
        <w:trPr>
          <w:cantSplit/>
          <w:trHeight w:val="255"/>
        </w:trPr>
        <w:tc>
          <w:tcPr>
            <w:tcW w:w="3785" w:type="dxa"/>
            <w:tcBorders>
              <w:left w:val="single" w:sz="6" w:space="0" w:color="auto"/>
              <w:right w:val="single" w:sz="6" w:space="0" w:color="auto"/>
            </w:tcBorders>
          </w:tcPr>
          <w:p w:rsidR="00712247" w:rsidRDefault="00712247">
            <w:pPr>
              <w:widowControl/>
              <w:spacing w:before="40" w:after="40"/>
              <w:ind w:left="80"/>
            </w:pPr>
            <w:r>
              <w:t>Kikusui</w:t>
            </w:r>
          </w:p>
        </w:tc>
        <w:tc>
          <w:tcPr>
            <w:tcW w:w="3413" w:type="dxa"/>
            <w:tcBorders>
              <w:left w:val="single" w:sz="6" w:space="0" w:color="auto"/>
              <w:right w:val="single" w:sz="6" w:space="0" w:color="auto"/>
            </w:tcBorders>
          </w:tcPr>
          <w:p w:rsidR="00712247" w:rsidRDefault="00712247">
            <w:pPr>
              <w:widowControl/>
              <w:spacing w:before="40" w:after="40"/>
              <w:jc w:val="center"/>
            </w:pPr>
            <w:r>
              <w:t>KI</w:t>
            </w:r>
          </w:p>
        </w:tc>
      </w:tr>
      <w:tr w:rsidR="00712247" w:rsidTr="008B4A8E">
        <w:tblPrEx>
          <w:tblCellMar>
            <w:top w:w="0" w:type="dxa"/>
            <w:bottom w:w="0" w:type="dxa"/>
          </w:tblCellMar>
        </w:tblPrEx>
        <w:trPr>
          <w:cantSplit/>
          <w:trHeight w:val="267"/>
        </w:trPr>
        <w:tc>
          <w:tcPr>
            <w:tcW w:w="3785" w:type="dxa"/>
            <w:tcBorders>
              <w:left w:val="single" w:sz="6" w:space="0" w:color="auto"/>
              <w:right w:val="single" w:sz="6" w:space="0" w:color="auto"/>
            </w:tcBorders>
          </w:tcPr>
          <w:p w:rsidR="00712247" w:rsidRDefault="00712247">
            <w:pPr>
              <w:widowControl/>
              <w:spacing w:before="40" w:after="40"/>
              <w:ind w:left="80"/>
            </w:pPr>
            <w:r>
              <w:t>KineticSystems, Corp.</w:t>
            </w:r>
          </w:p>
        </w:tc>
        <w:tc>
          <w:tcPr>
            <w:tcW w:w="3413" w:type="dxa"/>
            <w:tcBorders>
              <w:left w:val="single" w:sz="6" w:space="0" w:color="auto"/>
              <w:right w:val="single" w:sz="6" w:space="0" w:color="auto"/>
            </w:tcBorders>
          </w:tcPr>
          <w:p w:rsidR="00712247" w:rsidRDefault="00712247">
            <w:pPr>
              <w:widowControl/>
              <w:spacing w:before="40" w:after="40"/>
              <w:jc w:val="center"/>
            </w:pPr>
            <w:r>
              <w:t>KS</w:t>
            </w:r>
          </w:p>
        </w:tc>
      </w:tr>
    </w:tbl>
    <w:p w:rsidR="006D0139" w:rsidRDefault="006D0139">
      <w:pPr>
        <w:widowControl/>
        <w:jc w:val="center"/>
      </w:pPr>
    </w:p>
    <w:p w:rsidR="008B4A8E" w:rsidRDefault="008B4A8E" w:rsidP="008B4A8E">
      <w:pPr>
        <w:widowControl/>
        <w:jc w:val="center"/>
      </w:pPr>
      <w:r>
        <w:t xml:space="preserve">                                                                                                                    (Continues)</w:t>
      </w:r>
    </w:p>
    <w:p w:rsidR="00712247" w:rsidRDefault="00712247">
      <w:pPr>
        <w:widowControl/>
        <w:jc w:val="center"/>
      </w:pPr>
      <w:r>
        <w:lastRenderedPageBreak/>
        <w:t>Table 3-1.  Instrument Vendor Abbreviations (Continued)</w:t>
      </w:r>
    </w:p>
    <w:p w:rsidR="00712247" w:rsidRDefault="00712247">
      <w:pPr>
        <w:widowControl/>
      </w:pPr>
    </w:p>
    <w:tbl>
      <w:tblPr>
        <w:tblW w:w="0" w:type="auto"/>
        <w:tblInd w:w="1700" w:type="dxa"/>
        <w:tblLayout w:type="fixed"/>
        <w:tblLook w:val="0000"/>
      </w:tblPr>
      <w:tblGrid>
        <w:gridCol w:w="3718"/>
        <w:gridCol w:w="3195"/>
      </w:tblGrid>
      <w:tr w:rsidR="00712247" w:rsidTr="007D7FA9">
        <w:tblPrEx>
          <w:tblCellMar>
            <w:top w:w="0" w:type="dxa"/>
            <w:bottom w:w="0" w:type="dxa"/>
          </w:tblCellMar>
        </w:tblPrEx>
        <w:trPr>
          <w:cantSplit/>
        </w:trPr>
        <w:tc>
          <w:tcPr>
            <w:tcW w:w="3718" w:type="dxa"/>
            <w:tcBorders>
              <w:top w:val="single" w:sz="6" w:space="0" w:color="auto"/>
              <w:left w:val="single" w:sz="6" w:space="0" w:color="auto"/>
              <w:bottom w:val="double" w:sz="6" w:space="0" w:color="auto"/>
              <w:right w:val="single" w:sz="6" w:space="0" w:color="auto"/>
            </w:tcBorders>
          </w:tcPr>
          <w:p w:rsidR="00712247" w:rsidRDefault="00712247">
            <w:pPr>
              <w:widowControl/>
              <w:spacing w:before="40" w:after="40"/>
              <w:jc w:val="center"/>
              <w:rPr>
                <w:b/>
              </w:rPr>
            </w:pPr>
            <w:r>
              <w:rPr>
                <w:b/>
              </w:rPr>
              <w:br/>
              <w:t>Vendor</w:t>
            </w:r>
          </w:p>
        </w:tc>
        <w:tc>
          <w:tcPr>
            <w:tcW w:w="3195" w:type="dxa"/>
            <w:tcBorders>
              <w:top w:val="single" w:sz="6" w:space="0" w:color="auto"/>
              <w:left w:val="single" w:sz="6" w:space="0" w:color="auto"/>
              <w:bottom w:val="double" w:sz="6" w:space="0" w:color="auto"/>
              <w:right w:val="single" w:sz="6" w:space="0" w:color="auto"/>
            </w:tcBorders>
          </w:tcPr>
          <w:p w:rsidR="00712247" w:rsidRDefault="00712247">
            <w:pPr>
              <w:widowControl/>
              <w:spacing w:before="40" w:after="40"/>
              <w:jc w:val="center"/>
              <w:rPr>
                <w:b/>
              </w:rPr>
            </w:pPr>
            <w:r>
              <w:rPr>
                <w:b/>
              </w:rPr>
              <w:t>Two Character Abbreviation</w:t>
            </w:r>
          </w:p>
        </w:tc>
      </w:tr>
      <w:tr w:rsidR="00AA13E1" w:rsidTr="007D7FA9">
        <w:tblPrEx>
          <w:tblCellMar>
            <w:top w:w="0" w:type="dxa"/>
            <w:bottom w:w="0" w:type="dxa"/>
          </w:tblCellMar>
        </w:tblPrEx>
        <w:trPr>
          <w:cantSplit/>
        </w:trPr>
        <w:tc>
          <w:tcPr>
            <w:tcW w:w="3718" w:type="dxa"/>
            <w:tcBorders>
              <w:left w:val="single" w:sz="6" w:space="0" w:color="auto"/>
              <w:right w:val="single" w:sz="6" w:space="0" w:color="auto"/>
            </w:tcBorders>
          </w:tcPr>
          <w:p w:rsidR="00AA13E1" w:rsidRDefault="00AA13E1" w:rsidP="003A209F">
            <w:pPr>
              <w:widowControl/>
              <w:spacing w:before="40" w:after="40"/>
              <w:ind w:left="80"/>
            </w:pPr>
            <w:r>
              <w:t>LeCroy</w:t>
            </w:r>
          </w:p>
        </w:tc>
        <w:tc>
          <w:tcPr>
            <w:tcW w:w="3195" w:type="dxa"/>
            <w:tcBorders>
              <w:left w:val="single" w:sz="6" w:space="0" w:color="auto"/>
              <w:right w:val="single" w:sz="6" w:space="0" w:color="auto"/>
            </w:tcBorders>
          </w:tcPr>
          <w:p w:rsidR="00AA13E1" w:rsidRDefault="00AA13E1" w:rsidP="003A209F">
            <w:pPr>
              <w:widowControl/>
              <w:spacing w:before="40" w:after="40"/>
              <w:jc w:val="center"/>
            </w:pPr>
            <w:r>
              <w:t>LC</w:t>
            </w:r>
          </w:p>
        </w:tc>
      </w:tr>
      <w:tr w:rsidR="00AA13E1" w:rsidTr="007D7FA9">
        <w:tblPrEx>
          <w:tblCellMar>
            <w:top w:w="0" w:type="dxa"/>
            <w:bottom w:w="0" w:type="dxa"/>
          </w:tblCellMar>
        </w:tblPrEx>
        <w:trPr>
          <w:cantSplit/>
        </w:trPr>
        <w:tc>
          <w:tcPr>
            <w:tcW w:w="3718" w:type="dxa"/>
            <w:tcBorders>
              <w:left w:val="single" w:sz="6" w:space="0" w:color="auto"/>
              <w:right w:val="single" w:sz="6" w:space="0" w:color="auto"/>
            </w:tcBorders>
          </w:tcPr>
          <w:p w:rsidR="00AA13E1" w:rsidRDefault="00AA13E1" w:rsidP="003A209F">
            <w:pPr>
              <w:widowControl/>
              <w:spacing w:before="40" w:after="40"/>
              <w:ind w:left="80"/>
            </w:pPr>
            <w:r>
              <w:t>MAC Panel Company</w:t>
            </w:r>
          </w:p>
        </w:tc>
        <w:tc>
          <w:tcPr>
            <w:tcW w:w="3195" w:type="dxa"/>
            <w:tcBorders>
              <w:left w:val="single" w:sz="6" w:space="0" w:color="auto"/>
              <w:right w:val="single" w:sz="6" w:space="0" w:color="auto"/>
            </w:tcBorders>
          </w:tcPr>
          <w:p w:rsidR="00AA13E1" w:rsidRDefault="00AA13E1" w:rsidP="003A209F">
            <w:pPr>
              <w:widowControl/>
              <w:spacing w:before="40" w:after="40"/>
              <w:jc w:val="center"/>
            </w:pPr>
            <w:r>
              <w:t>MP</w:t>
            </w:r>
          </w:p>
        </w:tc>
      </w:tr>
      <w:tr w:rsidR="00AA13E1" w:rsidTr="007D7FA9">
        <w:tblPrEx>
          <w:tblCellMar>
            <w:top w:w="0" w:type="dxa"/>
            <w:bottom w:w="0" w:type="dxa"/>
          </w:tblCellMar>
        </w:tblPrEx>
        <w:trPr>
          <w:cantSplit/>
        </w:trPr>
        <w:tc>
          <w:tcPr>
            <w:tcW w:w="3718" w:type="dxa"/>
            <w:tcBorders>
              <w:left w:val="single" w:sz="6" w:space="0" w:color="auto"/>
              <w:right w:val="single" w:sz="6" w:space="0" w:color="auto"/>
            </w:tcBorders>
          </w:tcPr>
          <w:p w:rsidR="00AA13E1" w:rsidRDefault="00AA13E1" w:rsidP="003A209F">
            <w:pPr>
              <w:widowControl/>
              <w:spacing w:before="40" w:after="40"/>
              <w:ind w:left="80"/>
            </w:pPr>
            <w:r>
              <w:t>ManTech Test Systems</w:t>
            </w:r>
          </w:p>
        </w:tc>
        <w:tc>
          <w:tcPr>
            <w:tcW w:w="3195" w:type="dxa"/>
            <w:tcBorders>
              <w:left w:val="single" w:sz="6" w:space="0" w:color="auto"/>
              <w:right w:val="single" w:sz="6" w:space="0" w:color="auto"/>
            </w:tcBorders>
          </w:tcPr>
          <w:p w:rsidR="00AA13E1" w:rsidRDefault="00AA13E1" w:rsidP="003A209F">
            <w:pPr>
              <w:widowControl/>
              <w:spacing w:before="40" w:after="40"/>
              <w:jc w:val="center"/>
            </w:pPr>
            <w:r>
              <w:t>MT</w:t>
            </w:r>
          </w:p>
        </w:tc>
      </w:tr>
      <w:tr w:rsidR="00AA13E1" w:rsidTr="007D7FA9">
        <w:tblPrEx>
          <w:tblCellMar>
            <w:top w:w="0" w:type="dxa"/>
            <w:bottom w:w="0" w:type="dxa"/>
          </w:tblCellMar>
        </w:tblPrEx>
        <w:trPr>
          <w:cantSplit/>
        </w:trPr>
        <w:tc>
          <w:tcPr>
            <w:tcW w:w="3718" w:type="dxa"/>
            <w:tcBorders>
              <w:left w:val="single" w:sz="6" w:space="0" w:color="auto"/>
              <w:right w:val="single" w:sz="6" w:space="0" w:color="auto"/>
            </w:tcBorders>
          </w:tcPr>
          <w:p w:rsidR="00AA13E1" w:rsidRDefault="00AA13E1">
            <w:pPr>
              <w:widowControl/>
              <w:spacing w:before="40" w:after="40"/>
              <w:ind w:left="80"/>
            </w:pPr>
            <w:r>
              <w:t>NEUTRIK AG</w:t>
            </w:r>
          </w:p>
        </w:tc>
        <w:tc>
          <w:tcPr>
            <w:tcW w:w="3195" w:type="dxa"/>
            <w:tcBorders>
              <w:left w:val="single" w:sz="6" w:space="0" w:color="auto"/>
              <w:right w:val="single" w:sz="6" w:space="0" w:color="auto"/>
            </w:tcBorders>
          </w:tcPr>
          <w:p w:rsidR="00AA13E1" w:rsidRDefault="00AA13E1">
            <w:pPr>
              <w:widowControl/>
              <w:spacing w:before="40" w:after="40"/>
              <w:jc w:val="center"/>
            </w:pPr>
            <w:r>
              <w:t>NT</w:t>
            </w:r>
          </w:p>
        </w:tc>
      </w:tr>
      <w:tr w:rsidR="00AA13E1" w:rsidTr="007D7FA9">
        <w:tblPrEx>
          <w:tblCellMar>
            <w:top w:w="0" w:type="dxa"/>
            <w:bottom w:w="0" w:type="dxa"/>
          </w:tblCellMar>
        </w:tblPrEx>
        <w:trPr>
          <w:cantSplit/>
        </w:trPr>
        <w:tc>
          <w:tcPr>
            <w:tcW w:w="3718" w:type="dxa"/>
            <w:tcBorders>
              <w:left w:val="single" w:sz="6" w:space="0" w:color="auto"/>
              <w:right w:val="single" w:sz="6" w:space="0" w:color="auto"/>
            </w:tcBorders>
          </w:tcPr>
          <w:p w:rsidR="00AA13E1" w:rsidRDefault="00AA13E1">
            <w:pPr>
              <w:widowControl/>
              <w:spacing w:before="40" w:after="40"/>
              <w:ind w:left="80"/>
            </w:pPr>
            <w:r>
              <w:t>NH Research</w:t>
            </w:r>
          </w:p>
        </w:tc>
        <w:tc>
          <w:tcPr>
            <w:tcW w:w="3195" w:type="dxa"/>
            <w:tcBorders>
              <w:left w:val="single" w:sz="6" w:space="0" w:color="auto"/>
              <w:right w:val="single" w:sz="6" w:space="0" w:color="auto"/>
            </w:tcBorders>
          </w:tcPr>
          <w:p w:rsidR="00AA13E1" w:rsidRDefault="00AA13E1">
            <w:pPr>
              <w:widowControl/>
              <w:spacing w:before="40" w:after="40"/>
              <w:jc w:val="center"/>
            </w:pPr>
            <w:r>
              <w:t>NH</w:t>
            </w:r>
          </w:p>
        </w:tc>
      </w:tr>
      <w:tr w:rsidR="00AA13E1" w:rsidTr="007D7FA9">
        <w:tblPrEx>
          <w:tblCellMar>
            <w:top w:w="0" w:type="dxa"/>
            <w:bottom w:w="0" w:type="dxa"/>
          </w:tblCellMar>
        </w:tblPrEx>
        <w:trPr>
          <w:cantSplit/>
        </w:trPr>
        <w:tc>
          <w:tcPr>
            <w:tcW w:w="3718" w:type="dxa"/>
            <w:tcBorders>
              <w:left w:val="single" w:sz="6" w:space="0" w:color="auto"/>
              <w:right w:val="single" w:sz="6" w:space="0" w:color="auto"/>
            </w:tcBorders>
          </w:tcPr>
          <w:p w:rsidR="00AA13E1" w:rsidRDefault="00AA13E1">
            <w:pPr>
              <w:widowControl/>
              <w:spacing w:before="40" w:after="40"/>
              <w:ind w:left="80"/>
            </w:pPr>
            <w:smartTag w:uri="urn:schemas-microsoft-com:office:smarttags" w:element="place">
              <w:r>
                <w:t>North Atlantic</w:t>
              </w:r>
            </w:smartTag>
            <w:r>
              <w:t xml:space="preserve"> Instruments</w:t>
            </w:r>
          </w:p>
        </w:tc>
        <w:tc>
          <w:tcPr>
            <w:tcW w:w="3195" w:type="dxa"/>
            <w:tcBorders>
              <w:left w:val="single" w:sz="6" w:space="0" w:color="auto"/>
              <w:right w:val="single" w:sz="6" w:space="0" w:color="auto"/>
            </w:tcBorders>
          </w:tcPr>
          <w:p w:rsidR="00AA13E1" w:rsidRDefault="00AA13E1">
            <w:pPr>
              <w:widowControl/>
              <w:spacing w:before="40" w:after="40"/>
              <w:jc w:val="center"/>
            </w:pPr>
            <w:r>
              <w:t>NA</w:t>
            </w:r>
          </w:p>
        </w:tc>
      </w:tr>
      <w:tr w:rsidR="00AA13E1" w:rsidTr="007D7FA9">
        <w:tblPrEx>
          <w:tblCellMar>
            <w:top w:w="0" w:type="dxa"/>
            <w:bottom w:w="0" w:type="dxa"/>
          </w:tblCellMar>
        </w:tblPrEx>
        <w:trPr>
          <w:cantSplit/>
        </w:trPr>
        <w:tc>
          <w:tcPr>
            <w:tcW w:w="3718" w:type="dxa"/>
            <w:tcBorders>
              <w:left w:val="single" w:sz="6" w:space="0" w:color="auto"/>
              <w:right w:val="single" w:sz="6" w:space="0" w:color="auto"/>
            </w:tcBorders>
          </w:tcPr>
          <w:p w:rsidR="00AA13E1" w:rsidRDefault="00AA13E1">
            <w:pPr>
              <w:widowControl/>
              <w:spacing w:before="40" w:after="40"/>
              <w:ind w:left="80"/>
            </w:pPr>
            <w:r>
              <w:t>Pacific MindWorks, Inc.</w:t>
            </w:r>
          </w:p>
        </w:tc>
        <w:tc>
          <w:tcPr>
            <w:tcW w:w="3195" w:type="dxa"/>
            <w:tcBorders>
              <w:left w:val="single" w:sz="6" w:space="0" w:color="auto"/>
              <w:right w:val="single" w:sz="6" w:space="0" w:color="auto"/>
            </w:tcBorders>
          </w:tcPr>
          <w:p w:rsidR="00AA13E1" w:rsidRDefault="00AA13E1">
            <w:pPr>
              <w:widowControl/>
              <w:spacing w:before="40" w:after="40"/>
              <w:jc w:val="center"/>
            </w:pPr>
            <w:r>
              <w:t>PW</w:t>
            </w:r>
          </w:p>
        </w:tc>
      </w:tr>
      <w:tr w:rsidR="00AA13E1" w:rsidTr="007D7FA9">
        <w:tblPrEx>
          <w:tblCellMar>
            <w:top w:w="0" w:type="dxa"/>
            <w:bottom w:w="0" w:type="dxa"/>
          </w:tblCellMar>
        </w:tblPrEx>
        <w:trPr>
          <w:cantSplit/>
        </w:trPr>
        <w:tc>
          <w:tcPr>
            <w:tcW w:w="3718" w:type="dxa"/>
            <w:tcBorders>
              <w:left w:val="single" w:sz="6" w:space="0" w:color="auto"/>
              <w:right w:val="single" w:sz="6" w:space="0" w:color="auto"/>
            </w:tcBorders>
          </w:tcPr>
          <w:p w:rsidR="00AA13E1" w:rsidRDefault="00AA13E1">
            <w:pPr>
              <w:widowControl/>
              <w:spacing w:before="40" w:after="40"/>
              <w:ind w:left="80"/>
            </w:pPr>
            <w:r>
              <w:t>Phase Metrics</w:t>
            </w:r>
          </w:p>
        </w:tc>
        <w:tc>
          <w:tcPr>
            <w:tcW w:w="3195" w:type="dxa"/>
            <w:tcBorders>
              <w:left w:val="single" w:sz="6" w:space="0" w:color="auto"/>
              <w:right w:val="single" w:sz="6" w:space="0" w:color="auto"/>
            </w:tcBorders>
          </w:tcPr>
          <w:p w:rsidR="00AA13E1" w:rsidRDefault="00AA13E1">
            <w:pPr>
              <w:widowControl/>
              <w:spacing w:before="40" w:after="40"/>
              <w:jc w:val="center"/>
            </w:pPr>
            <w:r>
              <w:t>PM</w:t>
            </w:r>
          </w:p>
        </w:tc>
      </w:tr>
      <w:tr w:rsidR="00AA13E1" w:rsidTr="007D7FA9">
        <w:tblPrEx>
          <w:tblCellMar>
            <w:top w:w="0" w:type="dxa"/>
            <w:bottom w:w="0" w:type="dxa"/>
          </w:tblCellMar>
        </w:tblPrEx>
        <w:trPr>
          <w:cantSplit/>
        </w:trPr>
        <w:tc>
          <w:tcPr>
            <w:tcW w:w="3718" w:type="dxa"/>
            <w:tcBorders>
              <w:left w:val="single" w:sz="6" w:space="0" w:color="auto"/>
              <w:right w:val="single" w:sz="6" w:space="0" w:color="auto"/>
            </w:tcBorders>
          </w:tcPr>
          <w:p w:rsidR="00AA13E1" w:rsidRDefault="00AA13E1">
            <w:pPr>
              <w:widowControl/>
              <w:spacing w:before="40" w:after="40"/>
              <w:ind w:left="80"/>
            </w:pPr>
            <w:smartTag w:uri="urn:schemas-microsoft-com:office:smarttags" w:element="place">
              <w:smartTag w:uri="urn:schemas-microsoft-com:office:smarttags" w:element="City">
                <w:r>
                  <w:t>Pickering</w:t>
                </w:r>
              </w:smartTag>
            </w:smartTag>
            <w:r>
              <w:t xml:space="preserve"> Interfaces</w:t>
            </w:r>
          </w:p>
        </w:tc>
        <w:tc>
          <w:tcPr>
            <w:tcW w:w="3195" w:type="dxa"/>
            <w:tcBorders>
              <w:left w:val="single" w:sz="6" w:space="0" w:color="auto"/>
              <w:right w:val="single" w:sz="6" w:space="0" w:color="auto"/>
            </w:tcBorders>
          </w:tcPr>
          <w:p w:rsidR="00AA13E1" w:rsidRDefault="00AA13E1">
            <w:pPr>
              <w:widowControl/>
              <w:spacing w:before="40" w:after="40"/>
              <w:jc w:val="center"/>
            </w:pPr>
            <w:r>
              <w:t>PI</w:t>
            </w:r>
          </w:p>
        </w:tc>
      </w:tr>
      <w:tr w:rsidR="00AA13E1" w:rsidTr="007D7FA9">
        <w:tblPrEx>
          <w:tblCellMar>
            <w:top w:w="0" w:type="dxa"/>
            <w:bottom w:w="0" w:type="dxa"/>
          </w:tblCellMar>
        </w:tblPrEx>
        <w:trPr>
          <w:cantSplit/>
        </w:trPr>
        <w:tc>
          <w:tcPr>
            <w:tcW w:w="3718" w:type="dxa"/>
            <w:tcBorders>
              <w:left w:val="single" w:sz="6" w:space="0" w:color="auto"/>
              <w:right w:val="single" w:sz="6" w:space="0" w:color="auto"/>
            </w:tcBorders>
          </w:tcPr>
          <w:p w:rsidR="00AA13E1" w:rsidRDefault="00AA13E1">
            <w:pPr>
              <w:widowControl/>
              <w:spacing w:before="40" w:after="40"/>
              <w:ind w:left="80"/>
            </w:pPr>
            <w:r>
              <w:t>Picotest</w:t>
            </w:r>
          </w:p>
        </w:tc>
        <w:tc>
          <w:tcPr>
            <w:tcW w:w="3195" w:type="dxa"/>
            <w:tcBorders>
              <w:left w:val="single" w:sz="6" w:space="0" w:color="auto"/>
              <w:right w:val="single" w:sz="6" w:space="0" w:color="auto"/>
            </w:tcBorders>
          </w:tcPr>
          <w:p w:rsidR="00AA13E1" w:rsidRDefault="00AA13E1">
            <w:pPr>
              <w:widowControl/>
              <w:spacing w:before="40" w:after="40"/>
              <w:jc w:val="center"/>
            </w:pPr>
            <w:r>
              <w:t>PC</w:t>
            </w:r>
          </w:p>
        </w:tc>
      </w:tr>
      <w:tr w:rsidR="00AA13E1" w:rsidTr="007D7FA9">
        <w:tblPrEx>
          <w:tblCellMar>
            <w:top w:w="0" w:type="dxa"/>
            <w:bottom w:w="0" w:type="dxa"/>
          </w:tblCellMar>
        </w:tblPrEx>
        <w:trPr>
          <w:cantSplit/>
        </w:trPr>
        <w:tc>
          <w:tcPr>
            <w:tcW w:w="3718" w:type="dxa"/>
            <w:tcBorders>
              <w:left w:val="single" w:sz="6" w:space="0" w:color="auto"/>
              <w:right w:val="single" w:sz="6" w:space="0" w:color="auto"/>
            </w:tcBorders>
          </w:tcPr>
          <w:p w:rsidR="00AA13E1" w:rsidRDefault="00AA13E1">
            <w:pPr>
              <w:widowControl/>
              <w:spacing w:before="40" w:after="40"/>
              <w:ind w:left="80"/>
            </w:pPr>
            <w:r>
              <w:t>Power-Tek Inc.</w:t>
            </w:r>
          </w:p>
        </w:tc>
        <w:tc>
          <w:tcPr>
            <w:tcW w:w="3195" w:type="dxa"/>
            <w:tcBorders>
              <w:left w:val="single" w:sz="6" w:space="0" w:color="auto"/>
              <w:right w:val="single" w:sz="6" w:space="0" w:color="auto"/>
            </w:tcBorders>
          </w:tcPr>
          <w:p w:rsidR="00AA13E1" w:rsidRDefault="00AA13E1">
            <w:pPr>
              <w:widowControl/>
              <w:spacing w:before="40" w:after="40"/>
              <w:jc w:val="center"/>
            </w:pPr>
            <w:r>
              <w:t>PT</w:t>
            </w:r>
          </w:p>
        </w:tc>
      </w:tr>
      <w:tr w:rsidR="00AA13E1" w:rsidTr="007D7FA9">
        <w:tblPrEx>
          <w:tblCellMar>
            <w:top w:w="0" w:type="dxa"/>
            <w:bottom w:w="0" w:type="dxa"/>
          </w:tblCellMar>
        </w:tblPrEx>
        <w:trPr>
          <w:cantSplit/>
        </w:trPr>
        <w:tc>
          <w:tcPr>
            <w:tcW w:w="3718" w:type="dxa"/>
            <w:tcBorders>
              <w:left w:val="single" w:sz="6" w:space="0" w:color="auto"/>
              <w:right w:val="single" w:sz="6" w:space="0" w:color="auto"/>
            </w:tcBorders>
          </w:tcPr>
          <w:p w:rsidR="00AA13E1" w:rsidRDefault="00AA13E1">
            <w:pPr>
              <w:widowControl/>
              <w:spacing w:before="40" w:after="40"/>
              <w:ind w:left="80"/>
            </w:pPr>
            <w:r>
              <w:t>Racal Instruments, Inc.</w:t>
            </w:r>
          </w:p>
        </w:tc>
        <w:tc>
          <w:tcPr>
            <w:tcW w:w="3195" w:type="dxa"/>
            <w:tcBorders>
              <w:left w:val="single" w:sz="6" w:space="0" w:color="auto"/>
              <w:right w:val="single" w:sz="6" w:space="0" w:color="auto"/>
            </w:tcBorders>
          </w:tcPr>
          <w:p w:rsidR="00AA13E1" w:rsidRDefault="00AA13E1">
            <w:pPr>
              <w:widowControl/>
              <w:spacing w:before="40" w:after="40"/>
              <w:jc w:val="center"/>
            </w:pPr>
            <w:r>
              <w:t>RI</w:t>
            </w:r>
          </w:p>
        </w:tc>
      </w:tr>
      <w:tr w:rsidR="00AA13E1" w:rsidTr="007D7FA9">
        <w:tblPrEx>
          <w:tblCellMar>
            <w:top w:w="0" w:type="dxa"/>
            <w:bottom w:w="0" w:type="dxa"/>
          </w:tblCellMar>
        </w:tblPrEx>
        <w:trPr>
          <w:cantSplit/>
        </w:trPr>
        <w:tc>
          <w:tcPr>
            <w:tcW w:w="3718" w:type="dxa"/>
            <w:tcBorders>
              <w:left w:val="single" w:sz="6" w:space="0" w:color="auto"/>
              <w:right w:val="single" w:sz="6" w:space="0" w:color="auto"/>
            </w:tcBorders>
          </w:tcPr>
          <w:p w:rsidR="00AA13E1" w:rsidRDefault="00AA13E1">
            <w:pPr>
              <w:widowControl/>
              <w:spacing w:before="40" w:after="40"/>
              <w:ind w:left="80"/>
            </w:pPr>
            <w:r>
              <w:t>Radisys Corp.</w:t>
            </w:r>
          </w:p>
        </w:tc>
        <w:tc>
          <w:tcPr>
            <w:tcW w:w="3195" w:type="dxa"/>
            <w:tcBorders>
              <w:left w:val="single" w:sz="6" w:space="0" w:color="auto"/>
              <w:right w:val="single" w:sz="6" w:space="0" w:color="auto"/>
            </w:tcBorders>
          </w:tcPr>
          <w:p w:rsidR="00AA13E1" w:rsidRDefault="00AA13E1">
            <w:pPr>
              <w:widowControl/>
              <w:spacing w:before="40" w:after="40"/>
              <w:jc w:val="center"/>
            </w:pPr>
            <w:r>
              <w:t>RA</w:t>
            </w:r>
          </w:p>
        </w:tc>
      </w:tr>
      <w:tr w:rsidR="00AA13E1" w:rsidTr="007D7FA9">
        <w:tblPrEx>
          <w:tblCellMar>
            <w:top w:w="0" w:type="dxa"/>
            <w:bottom w:w="0" w:type="dxa"/>
          </w:tblCellMar>
        </w:tblPrEx>
        <w:trPr>
          <w:cantSplit/>
        </w:trPr>
        <w:tc>
          <w:tcPr>
            <w:tcW w:w="3718" w:type="dxa"/>
            <w:tcBorders>
              <w:left w:val="single" w:sz="6" w:space="0" w:color="auto"/>
              <w:right w:val="single" w:sz="6" w:space="0" w:color="auto"/>
            </w:tcBorders>
          </w:tcPr>
          <w:p w:rsidR="00AA13E1" w:rsidRDefault="00AA13E1">
            <w:pPr>
              <w:widowControl/>
              <w:spacing w:before="40" w:after="40"/>
              <w:ind w:left="80"/>
            </w:pPr>
            <w:r>
              <w:t xml:space="preserve">Rohde &amp; Schwarz GmbH </w:t>
            </w:r>
          </w:p>
        </w:tc>
        <w:tc>
          <w:tcPr>
            <w:tcW w:w="3195" w:type="dxa"/>
            <w:tcBorders>
              <w:left w:val="single" w:sz="6" w:space="0" w:color="auto"/>
              <w:right w:val="single" w:sz="6" w:space="0" w:color="auto"/>
            </w:tcBorders>
          </w:tcPr>
          <w:p w:rsidR="00AA13E1" w:rsidRDefault="00AA13E1">
            <w:pPr>
              <w:widowControl/>
              <w:spacing w:before="40" w:after="40"/>
              <w:jc w:val="center"/>
            </w:pPr>
            <w:r>
              <w:t>RS</w:t>
            </w:r>
          </w:p>
        </w:tc>
      </w:tr>
      <w:tr w:rsidR="00AA13E1" w:rsidTr="007D7FA9">
        <w:tblPrEx>
          <w:tblCellMar>
            <w:top w:w="0" w:type="dxa"/>
            <w:bottom w:w="0" w:type="dxa"/>
          </w:tblCellMar>
        </w:tblPrEx>
        <w:trPr>
          <w:cantSplit/>
        </w:trPr>
        <w:tc>
          <w:tcPr>
            <w:tcW w:w="3718" w:type="dxa"/>
            <w:tcBorders>
              <w:left w:val="single" w:sz="6" w:space="0" w:color="auto"/>
              <w:right w:val="single" w:sz="6" w:space="0" w:color="auto"/>
            </w:tcBorders>
          </w:tcPr>
          <w:p w:rsidR="00AA13E1" w:rsidRDefault="00AA13E1">
            <w:pPr>
              <w:widowControl/>
              <w:spacing w:before="40" w:after="40"/>
              <w:ind w:left="80"/>
            </w:pPr>
            <w:r>
              <w:t>Schlumberger Technologies</w:t>
            </w:r>
          </w:p>
        </w:tc>
        <w:tc>
          <w:tcPr>
            <w:tcW w:w="3195" w:type="dxa"/>
            <w:tcBorders>
              <w:left w:val="single" w:sz="6" w:space="0" w:color="auto"/>
              <w:right w:val="single" w:sz="6" w:space="0" w:color="auto"/>
            </w:tcBorders>
          </w:tcPr>
          <w:p w:rsidR="00AA13E1" w:rsidRDefault="00AA13E1">
            <w:pPr>
              <w:widowControl/>
              <w:spacing w:before="40" w:after="40"/>
              <w:jc w:val="center"/>
            </w:pPr>
            <w:r>
              <w:t>SL</w:t>
            </w:r>
          </w:p>
        </w:tc>
      </w:tr>
      <w:tr w:rsidR="00AA13E1" w:rsidTr="007D7FA9">
        <w:tblPrEx>
          <w:tblCellMar>
            <w:top w:w="0" w:type="dxa"/>
            <w:bottom w:w="0" w:type="dxa"/>
          </w:tblCellMar>
        </w:tblPrEx>
        <w:trPr>
          <w:cantSplit/>
        </w:trPr>
        <w:tc>
          <w:tcPr>
            <w:tcW w:w="3718" w:type="dxa"/>
            <w:tcBorders>
              <w:left w:val="single" w:sz="6" w:space="0" w:color="auto"/>
              <w:right w:val="single" w:sz="6" w:space="0" w:color="auto"/>
            </w:tcBorders>
          </w:tcPr>
          <w:p w:rsidR="00AA13E1" w:rsidRDefault="00AA13E1">
            <w:pPr>
              <w:widowControl/>
              <w:spacing w:before="40" w:after="40"/>
              <w:ind w:left="80"/>
            </w:pPr>
            <w:r>
              <w:t>Scicom</w:t>
            </w:r>
          </w:p>
        </w:tc>
        <w:tc>
          <w:tcPr>
            <w:tcW w:w="3195" w:type="dxa"/>
            <w:tcBorders>
              <w:left w:val="single" w:sz="6" w:space="0" w:color="auto"/>
              <w:right w:val="single" w:sz="6" w:space="0" w:color="auto"/>
            </w:tcBorders>
          </w:tcPr>
          <w:p w:rsidR="00AA13E1" w:rsidRDefault="00AA13E1">
            <w:pPr>
              <w:widowControl/>
              <w:spacing w:before="40" w:after="40"/>
              <w:jc w:val="center"/>
            </w:pPr>
            <w:r>
              <w:t>SC</w:t>
            </w:r>
          </w:p>
        </w:tc>
      </w:tr>
      <w:tr w:rsidR="00AA13E1" w:rsidTr="007D7FA9">
        <w:tblPrEx>
          <w:tblCellMar>
            <w:top w:w="0" w:type="dxa"/>
            <w:bottom w:w="0" w:type="dxa"/>
          </w:tblCellMar>
        </w:tblPrEx>
        <w:trPr>
          <w:cantSplit/>
        </w:trPr>
        <w:tc>
          <w:tcPr>
            <w:tcW w:w="3718" w:type="dxa"/>
            <w:tcBorders>
              <w:left w:val="single" w:sz="6" w:space="0" w:color="auto"/>
              <w:right w:val="single" w:sz="6" w:space="0" w:color="auto"/>
            </w:tcBorders>
          </w:tcPr>
          <w:p w:rsidR="00AA13E1" w:rsidRDefault="00AA13E1">
            <w:pPr>
              <w:widowControl/>
              <w:spacing w:before="40" w:after="40"/>
              <w:ind w:left="80"/>
            </w:pPr>
            <w:r>
              <w:t>Scientific Research Corporation</w:t>
            </w:r>
          </w:p>
        </w:tc>
        <w:tc>
          <w:tcPr>
            <w:tcW w:w="3195" w:type="dxa"/>
            <w:tcBorders>
              <w:left w:val="single" w:sz="6" w:space="0" w:color="auto"/>
              <w:right w:val="single" w:sz="6" w:space="0" w:color="auto"/>
            </w:tcBorders>
          </w:tcPr>
          <w:p w:rsidR="00AA13E1" w:rsidRDefault="00AA13E1">
            <w:pPr>
              <w:widowControl/>
              <w:spacing w:before="40" w:after="40"/>
              <w:jc w:val="center"/>
            </w:pPr>
            <w:r>
              <w:t>SR</w:t>
            </w:r>
          </w:p>
        </w:tc>
      </w:tr>
      <w:tr w:rsidR="00AA13E1" w:rsidTr="007D7FA9">
        <w:tblPrEx>
          <w:tblCellMar>
            <w:top w:w="0" w:type="dxa"/>
            <w:bottom w:w="0" w:type="dxa"/>
          </w:tblCellMar>
        </w:tblPrEx>
        <w:trPr>
          <w:cantSplit/>
        </w:trPr>
        <w:tc>
          <w:tcPr>
            <w:tcW w:w="3718" w:type="dxa"/>
            <w:tcBorders>
              <w:left w:val="single" w:sz="6" w:space="0" w:color="auto"/>
              <w:right w:val="single" w:sz="6" w:space="0" w:color="auto"/>
            </w:tcBorders>
          </w:tcPr>
          <w:p w:rsidR="00AA13E1" w:rsidRDefault="00AA13E1">
            <w:pPr>
              <w:widowControl/>
              <w:spacing w:before="40" w:after="40"/>
              <w:ind w:left="80"/>
            </w:pPr>
            <w:r>
              <w:t xml:space="preserve">Serendipity Systems, Inc. </w:t>
            </w:r>
          </w:p>
        </w:tc>
        <w:tc>
          <w:tcPr>
            <w:tcW w:w="3195" w:type="dxa"/>
            <w:tcBorders>
              <w:left w:val="single" w:sz="6" w:space="0" w:color="auto"/>
              <w:right w:val="single" w:sz="6" w:space="0" w:color="auto"/>
            </w:tcBorders>
          </w:tcPr>
          <w:p w:rsidR="00AA13E1" w:rsidRDefault="00AA13E1">
            <w:pPr>
              <w:widowControl/>
              <w:spacing w:before="40" w:after="40"/>
              <w:jc w:val="center"/>
            </w:pPr>
            <w:r>
              <w:t>AU</w:t>
            </w:r>
          </w:p>
        </w:tc>
      </w:tr>
      <w:tr w:rsidR="00AA13E1" w:rsidTr="007D7FA9">
        <w:tblPrEx>
          <w:tblCellMar>
            <w:top w:w="0" w:type="dxa"/>
            <w:bottom w:w="0" w:type="dxa"/>
          </w:tblCellMar>
        </w:tblPrEx>
        <w:trPr>
          <w:cantSplit/>
        </w:trPr>
        <w:tc>
          <w:tcPr>
            <w:tcW w:w="3718" w:type="dxa"/>
            <w:tcBorders>
              <w:left w:val="single" w:sz="6" w:space="0" w:color="auto"/>
              <w:right w:val="single" w:sz="6" w:space="0" w:color="auto"/>
            </w:tcBorders>
          </w:tcPr>
          <w:p w:rsidR="00AA13E1" w:rsidRDefault="00AA13E1">
            <w:pPr>
              <w:widowControl/>
              <w:spacing w:before="40" w:after="40"/>
              <w:ind w:left="80"/>
            </w:pPr>
            <w:r>
              <w:t>Sony/Tektronix Corporation</w:t>
            </w:r>
          </w:p>
        </w:tc>
        <w:tc>
          <w:tcPr>
            <w:tcW w:w="3195" w:type="dxa"/>
            <w:tcBorders>
              <w:left w:val="single" w:sz="6" w:space="0" w:color="auto"/>
              <w:right w:val="single" w:sz="6" w:space="0" w:color="auto"/>
            </w:tcBorders>
          </w:tcPr>
          <w:p w:rsidR="00AA13E1" w:rsidRDefault="00AA13E1">
            <w:pPr>
              <w:widowControl/>
              <w:spacing w:before="40" w:after="40"/>
              <w:jc w:val="center"/>
            </w:pPr>
            <w:r>
              <w:t>ST</w:t>
            </w:r>
          </w:p>
        </w:tc>
      </w:tr>
      <w:tr w:rsidR="00AA13E1" w:rsidTr="007D7FA9">
        <w:tblPrEx>
          <w:tblCellMar>
            <w:top w:w="0" w:type="dxa"/>
            <w:bottom w:w="0" w:type="dxa"/>
          </w:tblCellMar>
        </w:tblPrEx>
        <w:trPr>
          <w:cantSplit/>
        </w:trPr>
        <w:tc>
          <w:tcPr>
            <w:tcW w:w="3718" w:type="dxa"/>
            <w:tcBorders>
              <w:left w:val="single" w:sz="6" w:space="0" w:color="auto"/>
              <w:right w:val="single" w:sz="6" w:space="0" w:color="auto"/>
            </w:tcBorders>
          </w:tcPr>
          <w:p w:rsidR="00AA13E1" w:rsidRDefault="00AA13E1">
            <w:pPr>
              <w:widowControl/>
              <w:spacing w:before="40" w:after="40"/>
              <w:ind w:left="80"/>
            </w:pPr>
            <w:r>
              <w:t>Spectrum Signal Processing, Inc.</w:t>
            </w:r>
          </w:p>
        </w:tc>
        <w:tc>
          <w:tcPr>
            <w:tcW w:w="3195" w:type="dxa"/>
            <w:tcBorders>
              <w:left w:val="single" w:sz="6" w:space="0" w:color="auto"/>
              <w:right w:val="single" w:sz="6" w:space="0" w:color="auto"/>
            </w:tcBorders>
          </w:tcPr>
          <w:p w:rsidR="00AA13E1" w:rsidRDefault="00AA13E1">
            <w:pPr>
              <w:widowControl/>
              <w:spacing w:before="40" w:after="40"/>
              <w:jc w:val="center"/>
            </w:pPr>
            <w:r>
              <w:t>SS</w:t>
            </w:r>
          </w:p>
        </w:tc>
      </w:tr>
      <w:tr w:rsidR="00AA13E1" w:rsidTr="007D7FA9">
        <w:tblPrEx>
          <w:tblCellMar>
            <w:top w:w="0" w:type="dxa"/>
            <w:bottom w:w="0" w:type="dxa"/>
          </w:tblCellMar>
        </w:tblPrEx>
        <w:trPr>
          <w:cantSplit/>
        </w:trPr>
        <w:tc>
          <w:tcPr>
            <w:tcW w:w="3718" w:type="dxa"/>
            <w:tcBorders>
              <w:left w:val="single" w:sz="6" w:space="0" w:color="auto"/>
              <w:right w:val="single" w:sz="6" w:space="0" w:color="auto"/>
            </w:tcBorders>
          </w:tcPr>
          <w:p w:rsidR="00AA13E1" w:rsidRDefault="00AA13E1">
            <w:pPr>
              <w:widowControl/>
              <w:spacing w:before="40" w:after="40"/>
              <w:ind w:left="80"/>
            </w:pPr>
            <w:r>
              <w:t>Talon Instruments</w:t>
            </w:r>
          </w:p>
        </w:tc>
        <w:tc>
          <w:tcPr>
            <w:tcW w:w="3195" w:type="dxa"/>
            <w:tcBorders>
              <w:left w:val="single" w:sz="6" w:space="0" w:color="auto"/>
              <w:right w:val="single" w:sz="6" w:space="0" w:color="auto"/>
            </w:tcBorders>
          </w:tcPr>
          <w:p w:rsidR="00AA13E1" w:rsidRDefault="00AA13E1">
            <w:pPr>
              <w:widowControl/>
              <w:spacing w:before="40" w:after="40"/>
              <w:jc w:val="center"/>
            </w:pPr>
            <w:r>
              <w:t>TA</w:t>
            </w:r>
          </w:p>
        </w:tc>
      </w:tr>
      <w:tr w:rsidR="00AA13E1" w:rsidTr="007D7FA9">
        <w:tblPrEx>
          <w:tblCellMar>
            <w:top w:w="0" w:type="dxa"/>
            <w:bottom w:w="0" w:type="dxa"/>
          </w:tblCellMar>
        </w:tblPrEx>
        <w:trPr>
          <w:cantSplit/>
        </w:trPr>
        <w:tc>
          <w:tcPr>
            <w:tcW w:w="3718" w:type="dxa"/>
            <w:tcBorders>
              <w:left w:val="single" w:sz="6" w:space="0" w:color="auto"/>
              <w:right w:val="single" w:sz="6" w:space="0" w:color="auto"/>
            </w:tcBorders>
          </w:tcPr>
          <w:p w:rsidR="00AA13E1" w:rsidRDefault="00AA13E1">
            <w:pPr>
              <w:widowControl/>
              <w:spacing w:before="40" w:after="40"/>
              <w:ind w:left="80"/>
            </w:pPr>
            <w:r>
              <w:t>Tektronix, Inc.</w:t>
            </w:r>
          </w:p>
        </w:tc>
        <w:tc>
          <w:tcPr>
            <w:tcW w:w="3195" w:type="dxa"/>
            <w:tcBorders>
              <w:left w:val="single" w:sz="6" w:space="0" w:color="auto"/>
              <w:right w:val="single" w:sz="6" w:space="0" w:color="auto"/>
            </w:tcBorders>
          </w:tcPr>
          <w:p w:rsidR="00AA13E1" w:rsidRDefault="00AA13E1">
            <w:pPr>
              <w:widowControl/>
              <w:spacing w:before="40" w:after="40"/>
              <w:jc w:val="center"/>
            </w:pPr>
            <w:r>
              <w:t>TK</w:t>
            </w:r>
          </w:p>
        </w:tc>
      </w:tr>
      <w:tr w:rsidR="00AA13E1" w:rsidTr="00E77DDD">
        <w:tblPrEx>
          <w:tblCellMar>
            <w:top w:w="0" w:type="dxa"/>
            <w:bottom w:w="0" w:type="dxa"/>
          </w:tblCellMar>
        </w:tblPrEx>
        <w:trPr>
          <w:cantSplit/>
          <w:trHeight w:val="405"/>
        </w:trPr>
        <w:tc>
          <w:tcPr>
            <w:tcW w:w="3718" w:type="dxa"/>
            <w:tcBorders>
              <w:left w:val="single" w:sz="6" w:space="0" w:color="auto"/>
              <w:right w:val="single" w:sz="6" w:space="0" w:color="auto"/>
            </w:tcBorders>
          </w:tcPr>
          <w:p w:rsidR="00AA13E1" w:rsidRDefault="00AA13E1">
            <w:pPr>
              <w:widowControl/>
              <w:spacing w:before="40" w:after="40"/>
              <w:ind w:left="80"/>
            </w:pPr>
            <w:r>
              <w:t>Teradyne</w:t>
            </w:r>
          </w:p>
        </w:tc>
        <w:tc>
          <w:tcPr>
            <w:tcW w:w="3195" w:type="dxa"/>
            <w:tcBorders>
              <w:left w:val="single" w:sz="6" w:space="0" w:color="auto"/>
              <w:right w:val="single" w:sz="6" w:space="0" w:color="auto"/>
            </w:tcBorders>
          </w:tcPr>
          <w:p w:rsidR="00AA13E1" w:rsidRDefault="00AA13E1">
            <w:pPr>
              <w:widowControl/>
              <w:spacing w:before="40" w:after="40"/>
              <w:jc w:val="center"/>
            </w:pPr>
            <w:r>
              <w:t>TE</w:t>
            </w:r>
          </w:p>
        </w:tc>
      </w:tr>
      <w:tr w:rsidR="00AA13E1" w:rsidTr="00E77DDD">
        <w:tblPrEx>
          <w:tblCellMar>
            <w:top w:w="0" w:type="dxa"/>
            <w:bottom w:w="0" w:type="dxa"/>
          </w:tblCellMar>
        </w:tblPrEx>
        <w:trPr>
          <w:cantSplit/>
          <w:trHeight w:val="270"/>
        </w:trPr>
        <w:tc>
          <w:tcPr>
            <w:tcW w:w="3718" w:type="dxa"/>
            <w:tcBorders>
              <w:left w:val="single" w:sz="6" w:space="0" w:color="auto"/>
              <w:right w:val="single" w:sz="6" w:space="0" w:color="auto"/>
            </w:tcBorders>
          </w:tcPr>
          <w:p w:rsidR="00AA13E1" w:rsidRPr="007D7FA9" w:rsidRDefault="00AA13E1" w:rsidP="007D7FA9">
            <w:r>
              <w:t xml:space="preserve"> Test &amp; Measurement Systems Inc.</w:t>
            </w:r>
          </w:p>
        </w:tc>
        <w:tc>
          <w:tcPr>
            <w:tcW w:w="3195" w:type="dxa"/>
            <w:tcBorders>
              <w:left w:val="single" w:sz="6" w:space="0" w:color="auto"/>
              <w:right w:val="single" w:sz="6" w:space="0" w:color="auto"/>
            </w:tcBorders>
          </w:tcPr>
          <w:p w:rsidR="00AA13E1" w:rsidRDefault="00AA13E1">
            <w:pPr>
              <w:widowControl/>
              <w:spacing w:before="40" w:after="40"/>
              <w:jc w:val="center"/>
            </w:pPr>
            <w:r>
              <w:t>TS</w:t>
            </w:r>
          </w:p>
        </w:tc>
      </w:tr>
      <w:tr w:rsidR="00AA13E1" w:rsidTr="00E77DDD">
        <w:tblPrEx>
          <w:tblCellMar>
            <w:top w:w="0" w:type="dxa"/>
            <w:bottom w:w="0" w:type="dxa"/>
          </w:tblCellMar>
        </w:tblPrEx>
        <w:trPr>
          <w:cantSplit/>
          <w:trHeight w:val="477"/>
        </w:trPr>
        <w:tc>
          <w:tcPr>
            <w:tcW w:w="3718" w:type="dxa"/>
            <w:tcBorders>
              <w:left w:val="single" w:sz="6" w:space="0" w:color="auto"/>
              <w:right w:val="single" w:sz="6" w:space="0" w:color="auto"/>
            </w:tcBorders>
          </w:tcPr>
          <w:p w:rsidR="00AA13E1" w:rsidRDefault="00AA13E1">
            <w:pPr>
              <w:widowControl/>
              <w:spacing w:before="40" w:after="40"/>
              <w:ind w:left="80"/>
            </w:pPr>
            <w:r>
              <w:rPr>
                <w:sz w:val="22"/>
              </w:rPr>
              <w:t>Thurlby Thandar Instruments Limited</w:t>
            </w:r>
            <w:r>
              <w:t xml:space="preserve"> Transmagnetics, Inc.</w:t>
            </w:r>
          </w:p>
        </w:tc>
        <w:tc>
          <w:tcPr>
            <w:tcW w:w="3195" w:type="dxa"/>
            <w:tcBorders>
              <w:left w:val="single" w:sz="6" w:space="0" w:color="auto"/>
              <w:right w:val="single" w:sz="6" w:space="0" w:color="auto"/>
            </w:tcBorders>
          </w:tcPr>
          <w:p w:rsidR="00AA13E1" w:rsidRDefault="00AA13E1" w:rsidP="00E77DDD">
            <w:pPr>
              <w:widowControl/>
              <w:spacing w:before="40" w:after="40"/>
              <w:jc w:val="center"/>
            </w:pPr>
            <w:r>
              <w:t>AT</w:t>
            </w:r>
            <w:r>
              <w:br/>
              <w:t>TM</w:t>
            </w:r>
          </w:p>
        </w:tc>
      </w:tr>
      <w:tr w:rsidR="00AA13E1" w:rsidTr="007D7FA9">
        <w:tblPrEx>
          <w:tblCellMar>
            <w:top w:w="0" w:type="dxa"/>
            <w:bottom w:w="0" w:type="dxa"/>
          </w:tblCellMar>
        </w:tblPrEx>
        <w:trPr>
          <w:cantSplit/>
        </w:trPr>
        <w:tc>
          <w:tcPr>
            <w:tcW w:w="3718" w:type="dxa"/>
            <w:tcBorders>
              <w:left w:val="single" w:sz="6" w:space="0" w:color="auto"/>
              <w:right w:val="single" w:sz="6" w:space="0" w:color="auto"/>
            </w:tcBorders>
          </w:tcPr>
          <w:p w:rsidR="00AA13E1" w:rsidRDefault="00AA13E1">
            <w:pPr>
              <w:widowControl/>
              <w:spacing w:before="40" w:after="40"/>
              <w:ind w:left="80"/>
            </w:pPr>
            <w:r>
              <w:t>TTI Testron, Inc.</w:t>
            </w:r>
          </w:p>
        </w:tc>
        <w:tc>
          <w:tcPr>
            <w:tcW w:w="3195" w:type="dxa"/>
            <w:tcBorders>
              <w:left w:val="single" w:sz="6" w:space="0" w:color="auto"/>
              <w:right w:val="single" w:sz="6" w:space="0" w:color="auto"/>
            </w:tcBorders>
          </w:tcPr>
          <w:p w:rsidR="00AA13E1" w:rsidRDefault="00AA13E1">
            <w:pPr>
              <w:widowControl/>
              <w:spacing w:before="40" w:after="40"/>
              <w:jc w:val="center"/>
            </w:pPr>
            <w:r>
              <w:t>TT</w:t>
            </w:r>
          </w:p>
        </w:tc>
      </w:tr>
      <w:tr w:rsidR="00AA13E1" w:rsidTr="007D7FA9">
        <w:tblPrEx>
          <w:tblCellMar>
            <w:top w:w="0" w:type="dxa"/>
            <w:bottom w:w="0" w:type="dxa"/>
          </w:tblCellMar>
        </w:tblPrEx>
        <w:trPr>
          <w:cantSplit/>
        </w:trPr>
        <w:tc>
          <w:tcPr>
            <w:tcW w:w="3718" w:type="dxa"/>
            <w:tcBorders>
              <w:left w:val="single" w:sz="6" w:space="0" w:color="auto"/>
              <w:right w:val="single" w:sz="6" w:space="0" w:color="auto"/>
            </w:tcBorders>
          </w:tcPr>
          <w:p w:rsidR="00906DA6" w:rsidRPr="00906DA6" w:rsidRDefault="00906DA6">
            <w:pPr>
              <w:widowControl/>
              <w:spacing w:before="40" w:after="40"/>
              <w:ind w:left="80"/>
              <w:rPr>
                <w:rFonts w:ascii="Times New Roman" w:hAnsi="Times New Roman"/>
                <w:szCs w:val="24"/>
              </w:rPr>
            </w:pPr>
            <w:r w:rsidRPr="00906DA6">
              <w:rPr>
                <w:rFonts w:ascii="Times New Roman" w:hAnsi="Times New Roman"/>
                <w:szCs w:val="24"/>
              </w:rPr>
              <w:t>Vencon Technologies Inc.</w:t>
            </w:r>
          </w:p>
          <w:p w:rsidR="00AA13E1" w:rsidRDefault="00AA13E1">
            <w:pPr>
              <w:widowControl/>
              <w:spacing w:before="40" w:after="40"/>
              <w:ind w:left="80"/>
            </w:pPr>
            <w:r>
              <w:t>Virginia Panel, Corp.</w:t>
            </w:r>
          </w:p>
        </w:tc>
        <w:tc>
          <w:tcPr>
            <w:tcW w:w="3195" w:type="dxa"/>
            <w:tcBorders>
              <w:left w:val="single" w:sz="6" w:space="0" w:color="auto"/>
              <w:right w:val="single" w:sz="6" w:space="0" w:color="auto"/>
            </w:tcBorders>
          </w:tcPr>
          <w:p w:rsidR="00906DA6" w:rsidRDefault="00906DA6">
            <w:pPr>
              <w:widowControl/>
              <w:spacing w:before="40" w:after="40"/>
              <w:jc w:val="center"/>
            </w:pPr>
            <w:r>
              <w:t>VE</w:t>
            </w:r>
          </w:p>
          <w:p w:rsidR="00AA13E1" w:rsidRDefault="00AA13E1">
            <w:pPr>
              <w:widowControl/>
              <w:spacing w:before="40" w:after="40"/>
              <w:jc w:val="center"/>
            </w:pPr>
            <w:r>
              <w:t>VP</w:t>
            </w:r>
          </w:p>
        </w:tc>
      </w:tr>
      <w:tr w:rsidR="00AA13E1" w:rsidTr="007D7FA9">
        <w:tblPrEx>
          <w:tblCellMar>
            <w:top w:w="0" w:type="dxa"/>
            <w:bottom w:w="0" w:type="dxa"/>
          </w:tblCellMar>
        </w:tblPrEx>
        <w:trPr>
          <w:cantSplit/>
        </w:trPr>
        <w:tc>
          <w:tcPr>
            <w:tcW w:w="3718" w:type="dxa"/>
            <w:tcBorders>
              <w:left w:val="single" w:sz="6" w:space="0" w:color="auto"/>
              <w:right w:val="single" w:sz="6" w:space="0" w:color="auto"/>
            </w:tcBorders>
          </w:tcPr>
          <w:p w:rsidR="00AA13E1" w:rsidRDefault="00AA13E1">
            <w:pPr>
              <w:widowControl/>
              <w:spacing w:before="40" w:after="40"/>
              <w:ind w:left="80"/>
            </w:pPr>
            <w:r>
              <w:t>VXI Technology, Inc.</w:t>
            </w:r>
          </w:p>
        </w:tc>
        <w:tc>
          <w:tcPr>
            <w:tcW w:w="3195" w:type="dxa"/>
            <w:tcBorders>
              <w:left w:val="single" w:sz="6" w:space="0" w:color="auto"/>
              <w:right w:val="single" w:sz="6" w:space="0" w:color="auto"/>
            </w:tcBorders>
          </w:tcPr>
          <w:p w:rsidR="00AA13E1" w:rsidRDefault="00AA13E1">
            <w:pPr>
              <w:widowControl/>
              <w:spacing w:before="40" w:after="40"/>
              <w:jc w:val="center"/>
            </w:pPr>
            <w:r>
              <w:t>VT</w:t>
            </w:r>
          </w:p>
        </w:tc>
      </w:tr>
      <w:tr w:rsidR="00AA13E1" w:rsidTr="007D7FA9">
        <w:tblPrEx>
          <w:tblCellMar>
            <w:top w:w="0" w:type="dxa"/>
            <w:bottom w:w="0" w:type="dxa"/>
          </w:tblCellMar>
        </w:tblPrEx>
        <w:trPr>
          <w:cantSplit/>
        </w:trPr>
        <w:tc>
          <w:tcPr>
            <w:tcW w:w="3718" w:type="dxa"/>
            <w:tcBorders>
              <w:left w:val="single" w:sz="6" w:space="0" w:color="auto"/>
              <w:right w:val="single" w:sz="6" w:space="0" w:color="auto"/>
            </w:tcBorders>
          </w:tcPr>
          <w:p w:rsidR="00AA13E1" w:rsidRDefault="00AA13E1">
            <w:pPr>
              <w:widowControl/>
              <w:spacing w:before="40" w:after="40"/>
              <w:ind w:left="80"/>
            </w:pPr>
            <w:r>
              <w:t>VXIbus Associates, Inc.</w:t>
            </w:r>
          </w:p>
        </w:tc>
        <w:tc>
          <w:tcPr>
            <w:tcW w:w="3195" w:type="dxa"/>
            <w:tcBorders>
              <w:left w:val="single" w:sz="6" w:space="0" w:color="auto"/>
              <w:right w:val="single" w:sz="6" w:space="0" w:color="auto"/>
            </w:tcBorders>
          </w:tcPr>
          <w:p w:rsidR="00AA13E1" w:rsidRDefault="00AA13E1">
            <w:pPr>
              <w:widowControl/>
              <w:spacing w:before="40" w:after="40"/>
              <w:jc w:val="center"/>
            </w:pPr>
            <w:r>
              <w:t>VA</w:t>
            </w:r>
          </w:p>
        </w:tc>
      </w:tr>
      <w:tr w:rsidR="00AA13E1" w:rsidTr="007D7FA9">
        <w:tblPrEx>
          <w:tblCellMar>
            <w:top w:w="0" w:type="dxa"/>
            <w:bottom w:w="0" w:type="dxa"/>
          </w:tblCellMar>
        </w:tblPrEx>
        <w:trPr>
          <w:cantSplit/>
        </w:trPr>
        <w:tc>
          <w:tcPr>
            <w:tcW w:w="3718" w:type="dxa"/>
            <w:tcBorders>
              <w:left w:val="single" w:sz="6" w:space="0" w:color="auto"/>
              <w:right w:val="single" w:sz="6" w:space="0" w:color="auto"/>
            </w:tcBorders>
          </w:tcPr>
          <w:p w:rsidR="00AA13E1" w:rsidRDefault="00AA13E1">
            <w:pPr>
              <w:widowControl/>
              <w:spacing w:before="40" w:after="40"/>
              <w:ind w:left="80"/>
            </w:pPr>
            <w:r>
              <w:t>Wavetek Corp.</w:t>
            </w:r>
          </w:p>
        </w:tc>
        <w:tc>
          <w:tcPr>
            <w:tcW w:w="3195" w:type="dxa"/>
            <w:tcBorders>
              <w:left w:val="single" w:sz="6" w:space="0" w:color="auto"/>
              <w:right w:val="single" w:sz="6" w:space="0" w:color="auto"/>
            </w:tcBorders>
          </w:tcPr>
          <w:p w:rsidR="00AA13E1" w:rsidRDefault="00AA13E1">
            <w:pPr>
              <w:widowControl/>
              <w:spacing w:before="40" w:after="40"/>
              <w:jc w:val="center"/>
            </w:pPr>
            <w:r>
              <w:t>WT</w:t>
            </w:r>
          </w:p>
        </w:tc>
      </w:tr>
      <w:tr w:rsidR="00AA13E1" w:rsidTr="007D7FA9">
        <w:tblPrEx>
          <w:tblCellMar>
            <w:top w:w="0" w:type="dxa"/>
            <w:bottom w:w="0" w:type="dxa"/>
          </w:tblCellMar>
        </w:tblPrEx>
        <w:trPr>
          <w:cantSplit/>
        </w:trPr>
        <w:tc>
          <w:tcPr>
            <w:tcW w:w="3718" w:type="dxa"/>
            <w:tcBorders>
              <w:left w:val="single" w:sz="6" w:space="0" w:color="auto"/>
              <w:bottom w:val="single" w:sz="6" w:space="0" w:color="auto"/>
              <w:right w:val="single" w:sz="6" w:space="0" w:color="auto"/>
            </w:tcBorders>
          </w:tcPr>
          <w:p w:rsidR="008B4A8E" w:rsidRDefault="008B4A8E">
            <w:pPr>
              <w:widowControl/>
              <w:spacing w:before="40" w:after="40"/>
              <w:ind w:left="80"/>
            </w:pPr>
            <w:r>
              <w:lastRenderedPageBreak/>
              <w:t>Wandel &amp; Goltermann</w:t>
            </w:r>
          </w:p>
          <w:p w:rsidR="00AA13E1" w:rsidRDefault="00AA13E1">
            <w:pPr>
              <w:widowControl/>
              <w:spacing w:before="40" w:after="40"/>
              <w:ind w:left="80"/>
            </w:pPr>
            <w:r>
              <w:t>Yokogawa Electric Corporation</w:t>
            </w:r>
          </w:p>
        </w:tc>
        <w:tc>
          <w:tcPr>
            <w:tcW w:w="3195" w:type="dxa"/>
            <w:tcBorders>
              <w:left w:val="single" w:sz="6" w:space="0" w:color="auto"/>
              <w:bottom w:val="single" w:sz="6" w:space="0" w:color="auto"/>
              <w:right w:val="single" w:sz="6" w:space="0" w:color="auto"/>
            </w:tcBorders>
          </w:tcPr>
          <w:p w:rsidR="008B4A8E" w:rsidRDefault="008B4A8E">
            <w:pPr>
              <w:widowControl/>
              <w:spacing w:before="40" w:after="40"/>
              <w:jc w:val="center"/>
            </w:pPr>
            <w:r>
              <w:t>WG</w:t>
            </w:r>
          </w:p>
          <w:p w:rsidR="00AA13E1" w:rsidRDefault="00AA13E1">
            <w:pPr>
              <w:widowControl/>
              <w:spacing w:before="40" w:after="40"/>
              <w:jc w:val="center"/>
            </w:pPr>
            <w:r>
              <w:t>YK</w:t>
            </w:r>
          </w:p>
        </w:tc>
      </w:tr>
    </w:tbl>
    <w:p w:rsidR="00712247" w:rsidRDefault="00712247" w:rsidP="008B4A8E">
      <w:pPr>
        <w:widowControl/>
      </w:pPr>
    </w:p>
    <w:sectPr w:rsidR="00712247">
      <w:headerReference w:type="even" r:id="rId29"/>
      <w:headerReference w:type="default" r:id="rId30"/>
      <w:headerReference w:type="first" r:id="rId31"/>
      <w:footerReference w:type="first" r:id="rId32"/>
      <w:footnotePr>
        <w:numRestart w:val="eachPage"/>
      </w:footnotePr>
      <w:endnotePr>
        <w:numFmt w:val="decimal"/>
      </w:endnotePr>
      <w:pgSz w:w="12240" w:h="15840" w:code="1"/>
      <w:pgMar w:top="1440" w:right="1440" w:bottom="1440" w:left="1440"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13E9" w:rsidRDefault="00C413E9">
      <w:r>
        <w:separator/>
      </w:r>
    </w:p>
  </w:endnote>
  <w:endnote w:type="continuationSeparator" w:id="0">
    <w:p w:rsidR="00C413E9" w:rsidRDefault="00C413E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D5E" w:rsidRDefault="000E3D5E">
    <w:pPr>
      <w:pStyle w:val="bt4"/>
      <w:tabs>
        <w:tab w:val="right" w:pos="9360"/>
      </w:tabs>
      <w:ind w:left="-720" w:right="-720"/>
      <w:rPr>
        <w:i/>
      </w:rP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D5E" w:rsidRDefault="000E3D5E">
    <w:pPr>
      <w:pStyle w:val="Footer"/>
      <w:tabs>
        <w:tab w:val="right" w:pos="9360"/>
      </w:tabs>
      <w:rPr>
        <w:i/>
        <w:sz w:val="20"/>
      </w:rPr>
    </w:pPr>
  </w:p>
  <w:p w:rsidR="000E3D5E" w:rsidRDefault="000E3D5E">
    <w:pPr>
      <w:pStyle w:val="Footer"/>
      <w:tabs>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 xml:space="preserve"> </w:t>
    </w:r>
    <w:r>
      <w:rPr>
        <w:i/>
        <w:sz w:val="20"/>
      </w:rPr>
      <w:tab/>
      <w:t>VISA-1:  Main Specification</w:t>
    </w:r>
    <w:r>
      <w:rPr>
        <w:i/>
        <w:sz w:val="20"/>
      </w:rPr>
      <w:tab/>
      <w:t>Revision 1.0</w: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D5E" w:rsidRDefault="000E3D5E">
    <w:pPr>
      <w:rPr>
        <w:i/>
        <w:sz w:val="20"/>
      </w:rPr>
    </w:pPr>
  </w:p>
  <w:p w:rsidR="000E3D5E" w:rsidRDefault="000E3D5E">
    <w:pPr>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 xml:space="preserve"> </w:t>
    </w:r>
    <w:r>
      <w:rPr>
        <w:i/>
        <w:sz w:val="20"/>
      </w:rPr>
      <w:tab/>
      <w:t>VISA-1:  Main Specification</w:t>
    </w:r>
    <w:r>
      <w:rPr>
        <w:i/>
        <w:sz w:val="20"/>
      </w:rPr>
      <w:tab/>
      <w:t>Revision 1.0</w: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D5E" w:rsidRDefault="000E3D5E">
    <w:pPr>
      <w:pStyle w:val="Footer"/>
      <w:tabs>
        <w:tab w:val="right" w:pos="9360"/>
      </w:tabs>
      <w:rPr>
        <w:i/>
        <w:sz w:val="20"/>
      </w:rPr>
    </w:pPr>
  </w:p>
  <w:p w:rsidR="000E3D5E" w:rsidRDefault="000E3D5E">
    <w:pPr>
      <w:pStyle w:val="Footer"/>
      <w:tabs>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 xml:space="preserve"> </w:t>
    </w:r>
    <w:r>
      <w:rPr>
        <w:i/>
        <w:sz w:val="20"/>
      </w:rPr>
      <w:tab/>
      <w:t>VISA-1:  Main Specification</w:t>
    </w:r>
    <w:r>
      <w:rPr>
        <w:i/>
        <w:sz w:val="20"/>
      </w:rPr>
      <w:tab/>
      <w:t>Revision 1.0</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D5E" w:rsidRDefault="000E3D5E">
    <w:pPr>
      <w:pStyle w:val="bt4"/>
      <w:tabs>
        <w:tab w:val="right" w:pos="9360"/>
      </w:tabs>
      <w:ind w:left="-720" w:right="-720"/>
      <w:rPr>
        <w:i/>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D5E" w:rsidRDefault="000E3D5E">
    <w:pPr>
      <w:pStyle w:val="bt4"/>
      <w:tabs>
        <w:tab w:val="right" w:pos="9360"/>
      </w:tabs>
      <w:ind w:left="-720" w:right="-720"/>
      <w:rPr>
        <w:i/>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D5E" w:rsidRDefault="000E3D5E">
    <w:pPr>
      <w:pStyle w:val="bt4"/>
      <w:tabs>
        <w:tab w:val="right" w:pos="9360"/>
      </w:tabs>
      <w:ind w:left="-720" w:right="-720"/>
      <w:rPr>
        <w:i/>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D5E" w:rsidRDefault="000E3D5E">
    <w:pPr>
      <w:pStyle w:val="Footer"/>
      <w:tabs>
        <w:tab w:val="clear" w:pos="4320"/>
        <w:tab w:val="clear" w:pos="8640"/>
        <w:tab w:val="right" w:pos="9360"/>
      </w:tabs>
      <w:rPr>
        <w:i/>
        <w:sz w:val="20"/>
      </w:rPr>
    </w:pPr>
  </w:p>
  <w:p w:rsidR="000E3D5E" w:rsidRDefault="000E3D5E" w:rsidP="00617926">
    <w:pPr>
      <w:pStyle w:val="Footer"/>
      <w:tabs>
        <w:tab w:val="clear" w:pos="4320"/>
        <w:tab w:val="clear" w:pos="8640"/>
        <w:tab w:val="right" w:pos="9360"/>
      </w:tabs>
      <w:rPr>
        <w:i/>
        <w:sz w:val="20"/>
      </w:rPr>
    </w:pPr>
    <w:r>
      <w:rPr>
        <w:i/>
        <w:sz w:val="20"/>
      </w:rPr>
      <w:t>VPP-9:  Instrument Vendor Abbreviations</w:t>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D5E" w:rsidRDefault="000E3D5E">
    <w:pPr>
      <w:pStyle w:val="Footer"/>
      <w:tabs>
        <w:tab w:val="clear" w:pos="4320"/>
        <w:tab w:val="clear" w:pos="8640"/>
        <w:tab w:val="right" w:pos="9360"/>
      </w:tabs>
      <w:rPr>
        <w:i/>
        <w:sz w:val="20"/>
      </w:rPr>
    </w:pPr>
  </w:p>
  <w:p w:rsidR="000E3D5E" w:rsidRDefault="000E3D5E">
    <w:pPr>
      <w:pStyle w:val="Footer"/>
      <w:tabs>
        <w:tab w:val="clear" w:pos="4320"/>
        <w:tab w:val="clear" w:pos="8640"/>
        <w:tab w:val="center" w:pos="5400"/>
        <w:tab w:val="right" w:pos="9360"/>
      </w:tabs>
      <w:rPr>
        <w:i/>
        <w:sz w:val="20"/>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D5E" w:rsidRDefault="000E3D5E">
    <w:pPr>
      <w:pStyle w:val="Footer"/>
      <w:tabs>
        <w:tab w:val="right" w:pos="9360"/>
      </w:tabs>
      <w:rPr>
        <w:i/>
        <w:sz w:val="20"/>
      </w:rPr>
    </w:pPr>
  </w:p>
  <w:p w:rsidR="000E3D5E" w:rsidRDefault="000E3D5E">
    <w:pPr>
      <w:pStyle w:val="Footer"/>
      <w:tabs>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 xml:space="preserve"> </w:t>
    </w:r>
    <w:r>
      <w:rPr>
        <w:i/>
        <w:sz w:val="20"/>
      </w:rPr>
      <w:tab/>
      <w:t>VISA-1:  Main Specification</w:t>
    </w:r>
    <w:r>
      <w:rPr>
        <w:i/>
        <w:sz w:val="20"/>
      </w:rPr>
      <w:tab/>
      <w:t>Revision 1.0</w: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D5E" w:rsidRDefault="000E3D5E">
    <w:pPr>
      <w:pStyle w:val="Footer"/>
      <w:tabs>
        <w:tab w:val="clear" w:pos="4320"/>
        <w:tab w:val="clear" w:pos="8640"/>
        <w:tab w:val="right" w:pos="9360"/>
      </w:tabs>
      <w:rPr>
        <w:i/>
        <w:sz w:val="20"/>
      </w:rPr>
    </w:pPr>
  </w:p>
  <w:p w:rsidR="000E3D5E" w:rsidRDefault="000E3D5E" w:rsidP="0096744A">
    <w:pPr>
      <w:pStyle w:val="Footer"/>
      <w:tabs>
        <w:tab w:val="clear" w:pos="4320"/>
        <w:tab w:val="clear" w:pos="8640"/>
        <w:tab w:val="right" w:pos="9360"/>
      </w:tabs>
      <w:rPr>
        <w:i/>
        <w:sz w:val="20"/>
      </w:rPr>
    </w:pPr>
    <w:r>
      <w:rPr>
        <w:i/>
        <w:sz w:val="20"/>
      </w:rPr>
      <w:t>VPP-9:  Instrument Vendor Abbreviations</w:t>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D5E" w:rsidRDefault="000E3D5E">
    <w:pPr>
      <w:pStyle w:val="Footer"/>
      <w:tabs>
        <w:tab w:val="clear" w:pos="4320"/>
        <w:tab w:val="clear" w:pos="8640"/>
        <w:tab w:val="right" w:pos="9360"/>
      </w:tabs>
      <w:rPr>
        <w:i/>
        <w:sz w:val="20"/>
      </w:rPr>
    </w:pPr>
  </w:p>
  <w:p w:rsidR="000E3D5E" w:rsidRDefault="000E3D5E" w:rsidP="0096744A">
    <w:pPr>
      <w:pStyle w:val="Footer"/>
      <w:tabs>
        <w:tab w:val="clear" w:pos="4320"/>
        <w:tab w:val="clear" w:pos="864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t>VPP-9:  Instrument Vendor Abbreviations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13E9" w:rsidRDefault="00C413E9">
      <w:r>
        <w:separator/>
      </w:r>
    </w:p>
  </w:footnote>
  <w:footnote w:type="continuationSeparator" w:id="0">
    <w:p w:rsidR="00C413E9" w:rsidRDefault="00C413E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D5E" w:rsidRDefault="000E3D5E">
    <w:pPr>
      <w:pStyle w:val="Header"/>
      <w:tabs>
        <w:tab w:val="clear" w:pos="4320"/>
        <w:tab w:val="clear" w:pos="8640"/>
        <w:tab w:val="right" w:pos="9360"/>
      </w:tabs>
      <w:rPr>
        <w:i/>
        <w:sz w:val="20"/>
      </w:rPr>
    </w:pPr>
    <w:r>
      <w:rPr>
        <w:i/>
        <w:sz w:val="20"/>
      </w:rPr>
      <w:t xml:space="preserve">Page </w:t>
    </w:r>
    <w:r>
      <w:rPr>
        <w:i/>
        <w:sz w:val="20"/>
      </w:rPr>
      <w:pgNum/>
    </w:r>
    <w:r>
      <w:rPr>
        <w:i/>
        <w:sz w:val="20"/>
      </w:rPr>
      <w:tab/>
      <w:t>Contents</w:t>
    </w:r>
  </w:p>
  <w:p w:rsidR="000E3D5E" w:rsidRDefault="000E3D5E">
    <w:pPr>
      <w:tabs>
        <w:tab w:val="center" w:pos="4680"/>
      </w:tabs>
      <w:rPr>
        <w:sz w:val="20"/>
      </w:rPr>
    </w:pPr>
  </w:p>
  <w:p w:rsidR="000E3D5E" w:rsidRDefault="000E3D5E">
    <w:pPr>
      <w:tabs>
        <w:tab w:val="center" w:pos="4680"/>
      </w:tabs>
      <w:rPr>
        <w:sz w:val="20"/>
      </w:rP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D5E" w:rsidRDefault="000E3D5E">
    <w:pPr>
      <w:pStyle w:val="Header"/>
      <w:tabs>
        <w:tab w:val="clear" w:pos="4320"/>
        <w:tab w:val="clear" w:pos="8640"/>
        <w:tab w:val="right" w:pos="9360"/>
      </w:tabs>
      <w:rPr>
        <w:i/>
        <w:sz w:val="20"/>
      </w:rPr>
    </w:pPr>
    <w:r>
      <w:rPr>
        <w:i/>
        <w:sz w:val="20"/>
      </w:rPr>
      <w:t>Page 3-</w:t>
    </w:r>
    <w:r>
      <w:rPr>
        <w:i/>
        <w:sz w:val="20"/>
      </w:rPr>
      <w:pgNum/>
    </w:r>
    <w:r>
      <w:rPr>
        <w:i/>
        <w:sz w:val="20"/>
      </w:rPr>
      <w:tab/>
      <w:t>Section 3:  Instrument Vendor Abbreviations</w:t>
    </w:r>
  </w:p>
  <w:p w:rsidR="000E3D5E" w:rsidRDefault="000E3D5E">
    <w:pPr>
      <w:tabs>
        <w:tab w:val="center" w:pos="4680"/>
      </w:tabs>
      <w:rPr>
        <w:sz w:val="20"/>
      </w:rPr>
    </w:pPr>
  </w:p>
  <w:p w:rsidR="000E3D5E" w:rsidRDefault="000E3D5E">
    <w:pPr>
      <w:tabs>
        <w:tab w:val="center" w:pos="4680"/>
      </w:tabs>
      <w:rPr>
        <w:sz w:val="20"/>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D5E" w:rsidRDefault="000E3D5E">
    <w:pPr>
      <w:pStyle w:val="Header"/>
      <w:tabs>
        <w:tab w:val="clear" w:pos="4320"/>
        <w:tab w:val="clear" w:pos="8640"/>
        <w:tab w:val="right" w:pos="9360"/>
      </w:tabs>
      <w:rPr>
        <w:i/>
        <w:sz w:val="20"/>
      </w:rPr>
    </w:pPr>
    <w:r>
      <w:rPr>
        <w:i/>
        <w:sz w:val="20"/>
      </w:rPr>
      <w:t>Section 3:  Instrument Vendor Abbreviations</w:t>
    </w:r>
    <w:r>
      <w:rPr>
        <w:i/>
        <w:sz w:val="20"/>
      </w:rPr>
      <w:tab/>
      <w:t>Page 3-</w:t>
    </w:r>
    <w:r>
      <w:rPr>
        <w:i/>
        <w:sz w:val="20"/>
      </w:rPr>
      <w:pgNum/>
    </w:r>
  </w:p>
  <w:p w:rsidR="000E3D5E" w:rsidRDefault="000E3D5E">
    <w:pPr>
      <w:rPr>
        <w:sz w:val="20"/>
      </w:rPr>
    </w:pPr>
  </w:p>
  <w:p w:rsidR="000E3D5E" w:rsidRDefault="000E3D5E">
    <w:pPr>
      <w:tabs>
        <w:tab w:val="center" w:pos="4680"/>
      </w:tabs>
      <w:rPr>
        <w:sz w:val="20"/>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D5E" w:rsidRDefault="000E3D5E">
    <w:pPr>
      <w:pStyle w:val="Header"/>
      <w:rPr>
        <w:sz w:val="20"/>
      </w:rPr>
    </w:pPr>
  </w:p>
  <w:p w:rsidR="000E3D5E" w:rsidRDefault="000E3D5E">
    <w:pPr>
      <w:rPr>
        <w:sz w:val="20"/>
      </w:rPr>
    </w:pPr>
  </w:p>
  <w:p w:rsidR="000E3D5E" w:rsidRDefault="000E3D5E">
    <w:pPr>
      <w:rPr>
        <w:sz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D5E" w:rsidRDefault="000E3D5E">
    <w:pPr>
      <w:pStyle w:val="Header"/>
      <w:tabs>
        <w:tab w:val="clear" w:pos="4320"/>
        <w:tab w:val="clear" w:pos="8640"/>
        <w:tab w:val="right" w:pos="9360"/>
      </w:tabs>
      <w:rPr>
        <w:i/>
        <w:sz w:val="20"/>
      </w:rPr>
    </w:pPr>
    <w:r>
      <w:rPr>
        <w:i/>
        <w:sz w:val="20"/>
      </w:rPr>
      <w:t xml:space="preserve">Contents </w:t>
    </w:r>
    <w:r>
      <w:rPr>
        <w:i/>
        <w:sz w:val="20"/>
      </w:rPr>
      <w:tab/>
      <w:t xml:space="preserve">Page </w:t>
    </w:r>
    <w:r>
      <w:rPr>
        <w:i/>
        <w:sz w:val="20"/>
      </w:rPr>
      <w:pgNum/>
    </w:r>
  </w:p>
  <w:p w:rsidR="000E3D5E" w:rsidRDefault="000E3D5E">
    <w:pPr>
      <w:rPr>
        <w:sz w:val="20"/>
      </w:rPr>
    </w:pPr>
  </w:p>
  <w:p w:rsidR="000E3D5E" w:rsidRDefault="000E3D5E">
    <w:pPr>
      <w:tabs>
        <w:tab w:val="center" w:pos="4680"/>
      </w:tabs>
      <w:rPr>
        <w:sz w:val="2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D5E" w:rsidRDefault="000E3D5E">
    <w:pPr>
      <w:pStyle w:val="Header"/>
      <w:rPr>
        <w:sz w:val="20"/>
      </w:rPr>
    </w:pPr>
  </w:p>
  <w:p w:rsidR="000E3D5E" w:rsidRDefault="000E3D5E">
    <w:pPr>
      <w:rPr>
        <w:sz w:val="20"/>
      </w:rPr>
    </w:pPr>
  </w:p>
  <w:p w:rsidR="000E3D5E" w:rsidRDefault="000E3D5E">
    <w:pPr>
      <w:rPr>
        <w:sz w:val="20"/>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D5E" w:rsidRDefault="000E3D5E">
    <w:pPr>
      <w:pStyle w:val="Header"/>
      <w:tabs>
        <w:tab w:val="clear" w:pos="4320"/>
        <w:tab w:val="clear" w:pos="8640"/>
        <w:tab w:val="right" w:pos="9360"/>
      </w:tabs>
      <w:rPr>
        <w:i/>
        <w:sz w:val="20"/>
      </w:rPr>
    </w:pPr>
    <w:r>
      <w:rPr>
        <w:i/>
        <w:sz w:val="20"/>
      </w:rPr>
      <w:t>Page 1-</w:t>
    </w:r>
    <w:r>
      <w:rPr>
        <w:i/>
        <w:sz w:val="20"/>
      </w:rPr>
      <w:pgNum/>
    </w:r>
    <w:r>
      <w:rPr>
        <w:i/>
        <w:sz w:val="20"/>
      </w:rPr>
      <w:tab/>
      <w:t xml:space="preserve">Section 1:  Introduction to the VXIplug&amp;play Systems </w:t>
    </w:r>
    <w:smartTag w:uri="urn:schemas-microsoft-com:office:smarttags" w:element="place">
      <w:smartTag w:uri="urn:schemas-microsoft-com:office:smarttags" w:element="City">
        <w:r>
          <w:rPr>
            <w:i/>
            <w:sz w:val="20"/>
          </w:rPr>
          <w:t>Alliance</w:t>
        </w:r>
      </w:smartTag>
    </w:smartTag>
    <w:r>
      <w:rPr>
        <w:i/>
        <w:sz w:val="20"/>
      </w:rPr>
      <w:t xml:space="preserve"> and the IVI Foundation</w:t>
    </w:r>
  </w:p>
  <w:p w:rsidR="000E3D5E" w:rsidRDefault="000E3D5E">
    <w:pPr>
      <w:tabs>
        <w:tab w:val="center" w:pos="4680"/>
      </w:tabs>
      <w:rPr>
        <w:sz w:val="20"/>
      </w:rPr>
    </w:pPr>
  </w:p>
  <w:p w:rsidR="000E3D5E" w:rsidRDefault="000E3D5E">
    <w:pPr>
      <w:tabs>
        <w:tab w:val="center" w:pos="4680"/>
      </w:tabs>
      <w:rPr>
        <w:sz w:val="20"/>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D5E" w:rsidRDefault="000E3D5E">
    <w:pPr>
      <w:pStyle w:val="Header"/>
      <w:tabs>
        <w:tab w:val="clear" w:pos="4320"/>
        <w:tab w:val="clear" w:pos="8640"/>
        <w:tab w:val="right" w:pos="9360"/>
      </w:tabs>
      <w:rPr>
        <w:i/>
        <w:sz w:val="20"/>
      </w:rPr>
    </w:pPr>
    <w:r>
      <w:rPr>
        <w:i/>
        <w:sz w:val="20"/>
      </w:rPr>
      <w:t xml:space="preserve">Section 1:  Introduction to the VXIplug&amp;play Systems </w:t>
    </w:r>
    <w:smartTag w:uri="urn:schemas-microsoft-com:office:smarttags" w:element="place">
      <w:smartTag w:uri="urn:schemas-microsoft-com:office:smarttags" w:element="City">
        <w:r>
          <w:rPr>
            <w:i/>
            <w:sz w:val="20"/>
          </w:rPr>
          <w:t>Alliance</w:t>
        </w:r>
      </w:smartTag>
    </w:smartTag>
    <w:r>
      <w:rPr>
        <w:i/>
        <w:sz w:val="20"/>
      </w:rPr>
      <w:t xml:space="preserve"> and the IVI Foundation </w:t>
    </w:r>
    <w:r>
      <w:rPr>
        <w:i/>
        <w:sz w:val="20"/>
      </w:rPr>
      <w:tab/>
      <w:t>Page 1-</w:t>
    </w:r>
    <w:r>
      <w:rPr>
        <w:i/>
        <w:sz w:val="20"/>
      </w:rPr>
      <w:pgNum/>
    </w:r>
  </w:p>
  <w:p w:rsidR="000E3D5E" w:rsidRDefault="000E3D5E">
    <w:pPr>
      <w:rPr>
        <w:sz w:val="20"/>
      </w:rPr>
    </w:pPr>
  </w:p>
  <w:p w:rsidR="000E3D5E" w:rsidRDefault="000E3D5E">
    <w:pPr>
      <w:tabs>
        <w:tab w:val="center" w:pos="4680"/>
      </w:tabs>
      <w:rPr>
        <w:sz w:val="20"/>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D5E" w:rsidRDefault="000E3D5E">
    <w:pPr>
      <w:pStyle w:val="Header"/>
      <w:rPr>
        <w:sz w:val="20"/>
      </w:rPr>
    </w:pPr>
  </w:p>
  <w:p w:rsidR="000E3D5E" w:rsidRDefault="000E3D5E">
    <w:pPr>
      <w:rPr>
        <w:sz w:val="20"/>
      </w:rPr>
    </w:pPr>
  </w:p>
  <w:p w:rsidR="000E3D5E" w:rsidRDefault="000E3D5E">
    <w:pPr>
      <w:rPr>
        <w:sz w:val="20"/>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D5E" w:rsidRDefault="000E3D5E">
    <w:pPr>
      <w:tabs>
        <w:tab w:val="right" w:pos="9360"/>
      </w:tabs>
      <w:rPr>
        <w:i/>
        <w:sz w:val="20"/>
      </w:rPr>
    </w:pPr>
    <w:r>
      <w:rPr>
        <w:i/>
        <w:sz w:val="20"/>
      </w:rPr>
      <w:t>Page 2-</w:t>
    </w:r>
    <w:r>
      <w:rPr>
        <w:i/>
        <w:sz w:val="20"/>
      </w:rPr>
      <w:pgNum/>
    </w:r>
    <w:r>
      <w:rPr>
        <w:i/>
        <w:sz w:val="20"/>
      </w:rPr>
      <w:tab/>
      <w:t>Section 2:  Overview of Instrument Vendor Abbreviations Specification</w:t>
    </w:r>
  </w:p>
  <w:p w:rsidR="000E3D5E" w:rsidRDefault="000E3D5E">
    <w:pPr>
      <w:rPr>
        <w:sz w:val="20"/>
      </w:rPr>
    </w:pPr>
  </w:p>
  <w:p w:rsidR="000E3D5E" w:rsidRDefault="000E3D5E">
    <w:pPr>
      <w:rPr>
        <w:sz w:val="20"/>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D5E" w:rsidRDefault="000E3D5E">
    <w:pPr>
      <w:tabs>
        <w:tab w:val="right" w:pos="9360"/>
      </w:tabs>
      <w:rPr>
        <w:i/>
        <w:sz w:val="20"/>
      </w:rPr>
    </w:pPr>
    <w:r>
      <w:rPr>
        <w:i/>
        <w:sz w:val="20"/>
      </w:rPr>
      <w:t>Section 2:  Overview of Instrument Vendor Abbreviations Specification</w:t>
    </w:r>
    <w:r>
      <w:rPr>
        <w:i/>
        <w:sz w:val="20"/>
      </w:rPr>
      <w:tab/>
      <w:t>Page 2-</w:t>
    </w:r>
    <w:r>
      <w:rPr>
        <w:i/>
        <w:sz w:val="20"/>
      </w:rPr>
      <w:pgNum/>
    </w:r>
  </w:p>
  <w:p w:rsidR="000E3D5E" w:rsidRDefault="000E3D5E">
    <w:pPr>
      <w:rPr>
        <w:sz w:val="20"/>
      </w:rPr>
    </w:pPr>
  </w:p>
  <w:p w:rsidR="000E3D5E" w:rsidRDefault="000E3D5E">
    <w:pPr>
      <w:rPr>
        <w:sz w:val="20"/>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D5E" w:rsidRDefault="000E3D5E">
    <w:pPr>
      <w:rPr>
        <w:sz w:val="20"/>
      </w:rPr>
    </w:pPr>
  </w:p>
  <w:p w:rsidR="000E3D5E" w:rsidRDefault="000E3D5E">
    <w:pPr>
      <w:rPr>
        <w:sz w:val="20"/>
      </w:rPr>
    </w:pPr>
  </w:p>
  <w:p w:rsidR="000E3D5E" w:rsidRDefault="000E3D5E">
    <w:pPr>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A7AA866"/>
    <w:lvl w:ilvl="0">
      <w:start w:val="1"/>
      <w:numFmt w:val="decimal"/>
      <w:lvlText w:val="%1."/>
      <w:lvlJc w:val="left"/>
      <w:pPr>
        <w:tabs>
          <w:tab w:val="num" w:pos="1800"/>
        </w:tabs>
        <w:ind w:left="1800" w:hanging="360"/>
      </w:pPr>
    </w:lvl>
  </w:abstractNum>
  <w:abstractNum w:abstractNumId="1">
    <w:nsid w:val="FFFFFF7D"/>
    <w:multiLevelType w:val="singleLevel"/>
    <w:tmpl w:val="E24AB4AA"/>
    <w:lvl w:ilvl="0">
      <w:start w:val="1"/>
      <w:numFmt w:val="decimal"/>
      <w:lvlText w:val="%1."/>
      <w:lvlJc w:val="left"/>
      <w:pPr>
        <w:tabs>
          <w:tab w:val="num" w:pos="1440"/>
        </w:tabs>
        <w:ind w:left="1440" w:hanging="360"/>
      </w:pPr>
    </w:lvl>
  </w:abstractNum>
  <w:abstractNum w:abstractNumId="2">
    <w:nsid w:val="FFFFFF7E"/>
    <w:multiLevelType w:val="singleLevel"/>
    <w:tmpl w:val="460224D8"/>
    <w:lvl w:ilvl="0">
      <w:start w:val="1"/>
      <w:numFmt w:val="decimal"/>
      <w:lvlText w:val="%1."/>
      <w:lvlJc w:val="left"/>
      <w:pPr>
        <w:tabs>
          <w:tab w:val="num" w:pos="1080"/>
        </w:tabs>
        <w:ind w:left="1080" w:hanging="360"/>
      </w:pPr>
    </w:lvl>
  </w:abstractNum>
  <w:abstractNum w:abstractNumId="3">
    <w:nsid w:val="FFFFFF7F"/>
    <w:multiLevelType w:val="singleLevel"/>
    <w:tmpl w:val="FEDABCEA"/>
    <w:lvl w:ilvl="0">
      <w:start w:val="1"/>
      <w:numFmt w:val="decimal"/>
      <w:lvlText w:val="%1."/>
      <w:lvlJc w:val="left"/>
      <w:pPr>
        <w:tabs>
          <w:tab w:val="num" w:pos="720"/>
        </w:tabs>
        <w:ind w:left="720" w:hanging="360"/>
      </w:pPr>
    </w:lvl>
  </w:abstractNum>
  <w:abstractNum w:abstractNumId="4">
    <w:nsid w:val="FFFFFF80"/>
    <w:multiLevelType w:val="singleLevel"/>
    <w:tmpl w:val="FD6CBF8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D968E99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F047E4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0087FE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4B8C916"/>
    <w:lvl w:ilvl="0">
      <w:start w:val="1"/>
      <w:numFmt w:val="decimal"/>
      <w:lvlText w:val="%1."/>
      <w:lvlJc w:val="left"/>
      <w:pPr>
        <w:tabs>
          <w:tab w:val="num" w:pos="360"/>
        </w:tabs>
        <w:ind w:left="360" w:hanging="360"/>
      </w:pPr>
    </w:lvl>
  </w:abstractNum>
  <w:abstractNum w:abstractNumId="9">
    <w:nsid w:val="FFFFFF89"/>
    <w:multiLevelType w:val="singleLevel"/>
    <w:tmpl w:val="33967E34"/>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0"/>
  <w:doNotHyphenateCaps/>
  <w:evenAndOddHeaders/>
  <w:displayHorizontalDrawingGridEvery w:val="0"/>
  <w:displayVerticalDrawingGridEvery w:val="0"/>
  <w:doNotUseMarginsForDrawingGridOrigin/>
  <w:doNotShadeFormData/>
  <w:noPunctuationKerning/>
  <w:characterSpacingControl w:val="doNotCompress"/>
  <w:footnotePr>
    <w:numRestart w:val="eachPage"/>
    <w:footnote w:id="-1"/>
    <w:footnote w:id="0"/>
  </w:footnotePr>
  <w:endnotePr>
    <w:numFmt w:val="decimal"/>
    <w:endnote w:id="-1"/>
    <w:endnote w:id="0"/>
  </w:endnotePr>
  <w:compat/>
  <w:rsids>
    <w:rsidRoot w:val="006163AB"/>
    <w:rsid w:val="000241C1"/>
    <w:rsid w:val="000307F4"/>
    <w:rsid w:val="00073CB6"/>
    <w:rsid w:val="000A212D"/>
    <w:rsid w:val="000E3D5E"/>
    <w:rsid w:val="000E4F82"/>
    <w:rsid w:val="00157CA1"/>
    <w:rsid w:val="00182105"/>
    <w:rsid w:val="001D329D"/>
    <w:rsid w:val="00217C12"/>
    <w:rsid w:val="002C6F43"/>
    <w:rsid w:val="002E03C7"/>
    <w:rsid w:val="00332043"/>
    <w:rsid w:val="003416D1"/>
    <w:rsid w:val="003551CE"/>
    <w:rsid w:val="00361130"/>
    <w:rsid w:val="00436D5A"/>
    <w:rsid w:val="0045276C"/>
    <w:rsid w:val="004B152E"/>
    <w:rsid w:val="00533D04"/>
    <w:rsid w:val="00563089"/>
    <w:rsid w:val="0057767D"/>
    <w:rsid w:val="005927E9"/>
    <w:rsid w:val="005B039B"/>
    <w:rsid w:val="006163AB"/>
    <w:rsid w:val="00617926"/>
    <w:rsid w:val="00617B07"/>
    <w:rsid w:val="006444AF"/>
    <w:rsid w:val="006B1AA6"/>
    <w:rsid w:val="006B44DC"/>
    <w:rsid w:val="006C0E77"/>
    <w:rsid w:val="006C3703"/>
    <w:rsid w:val="006D0139"/>
    <w:rsid w:val="006E4C74"/>
    <w:rsid w:val="006F1A1F"/>
    <w:rsid w:val="006F65A8"/>
    <w:rsid w:val="007050FD"/>
    <w:rsid w:val="00712247"/>
    <w:rsid w:val="00762AC6"/>
    <w:rsid w:val="00771152"/>
    <w:rsid w:val="007946C2"/>
    <w:rsid w:val="007D7FA9"/>
    <w:rsid w:val="00821047"/>
    <w:rsid w:val="00826442"/>
    <w:rsid w:val="00841E5B"/>
    <w:rsid w:val="008562F6"/>
    <w:rsid w:val="0087370B"/>
    <w:rsid w:val="008864BD"/>
    <w:rsid w:val="00892D34"/>
    <w:rsid w:val="008B4A8E"/>
    <w:rsid w:val="008C0713"/>
    <w:rsid w:val="008E07AD"/>
    <w:rsid w:val="00906DA6"/>
    <w:rsid w:val="00917487"/>
    <w:rsid w:val="0096744A"/>
    <w:rsid w:val="00984F18"/>
    <w:rsid w:val="009A189E"/>
    <w:rsid w:val="009A316F"/>
    <w:rsid w:val="009C7A05"/>
    <w:rsid w:val="009D27A8"/>
    <w:rsid w:val="009D7B50"/>
    <w:rsid w:val="00A41644"/>
    <w:rsid w:val="00AA13E1"/>
    <w:rsid w:val="00AB1159"/>
    <w:rsid w:val="00AD7EDB"/>
    <w:rsid w:val="00AF03EF"/>
    <w:rsid w:val="00B54CF3"/>
    <w:rsid w:val="00B5725E"/>
    <w:rsid w:val="00B65BDA"/>
    <w:rsid w:val="00BD1057"/>
    <w:rsid w:val="00C413E9"/>
    <w:rsid w:val="00D60C20"/>
    <w:rsid w:val="00DA4297"/>
    <w:rsid w:val="00DC61C9"/>
    <w:rsid w:val="00DF48C9"/>
    <w:rsid w:val="00E05F0A"/>
    <w:rsid w:val="00E21968"/>
    <w:rsid w:val="00E417F7"/>
    <w:rsid w:val="00E77DDD"/>
    <w:rsid w:val="00E91101"/>
    <w:rsid w:val="00EF7809"/>
    <w:rsid w:val="00F414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7E9"/>
    <w:pPr>
      <w:widowControl w:val="0"/>
    </w:pPr>
    <w:rPr>
      <w:rFonts w:ascii="Times" w:hAnsi="Times"/>
      <w:sz w:val="24"/>
    </w:rPr>
  </w:style>
  <w:style w:type="paragraph" w:styleId="Heading1">
    <w:name w:val="heading 1"/>
    <w:basedOn w:val="Normal"/>
    <w:next w:val="Normal"/>
    <w:qFormat/>
    <w:rsid w:val="00E05F0A"/>
    <w:pPr>
      <w:outlineLvl w:val="0"/>
    </w:pPr>
    <w:rPr>
      <w:b/>
      <w:sz w:val="48"/>
    </w:rPr>
  </w:style>
  <w:style w:type="paragraph" w:styleId="Heading2">
    <w:name w:val="heading 2"/>
    <w:basedOn w:val="Normal"/>
    <w:next w:val="Normal"/>
    <w:qFormat/>
    <w:rsid w:val="00E05F0A"/>
    <w:pPr>
      <w:outlineLvl w:val="1"/>
    </w:pPr>
    <w:rPr>
      <w:b/>
      <w:sz w:val="36"/>
    </w:rPr>
  </w:style>
  <w:style w:type="paragraph" w:styleId="Heading3">
    <w:name w:val="heading 3"/>
    <w:basedOn w:val="Normal"/>
    <w:next w:val="Normal"/>
    <w:qFormat/>
    <w:pPr>
      <w:ind w:left="360"/>
      <w:outlineLvl w:val="2"/>
    </w:pPr>
    <w:rPr>
      <w:b/>
    </w:rPr>
  </w:style>
  <w:style w:type="paragraph" w:styleId="Heading4">
    <w:name w:val="heading 4"/>
    <w:basedOn w:val="Normal"/>
    <w:next w:val="Normal"/>
    <w:qFormat/>
    <w:pPr>
      <w:ind w:left="360"/>
      <w:outlineLvl w:val="3"/>
    </w:pPr>
    <w:rPr>
      <w:u w:val="single"/>
    </w:rPr>
  </w:style>
  <w:style w:type="paragraph" w:styleId="Heading5">
    <w:name w:val="heading 5"/>
    <w:basedOn w:val="Normal"/>
    <w:next w:val="Normal"/>
    <w:qFormat/>
    <w:pPr>
      <w:ind w:left="720"/>
      <w:outlineLvl w:val="4"/>
    </w:pPr>
    <w:rPr>
      <w:rFonts w:ascii="Helvetica" w:hAnsi="Helvetica"/>
      <w:b/>
      <w:sz w:val="20"/>
    </w:rPr>
  </w:style>
  <w:style w:type="paragraph" w:styleId="Heading6">
    <w:name w:val="heading 6"/>
    <w:basedOn w:val="Normal"/>
    <w:next w:val="Normal"/>
    <w:qFormat/>
    <w:pPr>
      <w:ind w:left="720"/>
      <w:outlineLvl w:val="5"/>
    </w:pPr>
    <w:rPr>
      <w:rFonts w:ascii="Helvetica" w:hAnsi="Helvetica"/>
      <w:sz w:val="20"/>
      <w:u w:val="single"/>
    </w:rPr>
  </w:style>
  <w:style w:type="paragraph" w:styleId="Heading7">
    <w:name w:val="heading 7"/>
    <w:basedOn w:val="Normal"/>
    <w:next w:val="Normal"/>
    <w:qFormat/>
    <w:pPr>
      <w:ind w:left="720"/>
      <w:outlineLvl w:val="6"/>
    </w:pPr>
    <w:rPr>
      <w:rFonts w:ascii="Helvetica" w:hAnsi="Helvetica"/>
      <w:i/>
      <w:sz w:val="20"/>
    </w:rPr>
  </w:style>
  <w:style w:type="paragraph" w:styleId="Heading8">
    <w:name w:val="heading 8"/>
    <w:basedOn w:val="Normal"/>
    <w:next w:val="Normal"/>
    <w:qFormat/>
    <w:pPr>
      <w:ind w:left="720"/>
      <w:outlineLvl w:val="7"/>
    </w:pPr>
    <w:rPr>
      <w:rFonts w:ascii="Helvetica" w:hAnsi="Helvetica"/>
      <w:i/>
      <w:sz w:val="20"/>
    </w:rPr>
  </w:style>
  <w:style w:type="paragraph" w:styleId="Heading9">
    <w:name w:val="heading 9"/>
    <w:basedOn w:val="Normal"/>
    <w:next w:val="Normal"/>
    <w:qFormat/>
    <w:pPr>
      <w:ind w:left="720"/>
      <w:outlineLvl w:val="8"/>
    </w:pPr>
    <w:rPr>
      <w:rFonts w:ascii="Helvetica" w:hAnsi="Helvetica"/>
      <w:i/>
      <w:sz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semiHidden/>
    <w:pPr>
      <w:tabs>
        <w:tab w:val="left" w:leader="dot" w:pos="8280"/>
        <w:tab w:val="right" w:pos="8640"/>
      </w:tabs>
      <w:ind w:left="5040" w:right="720"/>
    </w:pPr>
  </w:style>
  <w:style w:type="paragraph" w:styleId="TOC7">
    <w:name w:val="toc 7"/>
    <w:basedOn w:val="Normal"/>
    <w:next w:val="Normal"/>
    <w:semiHidden/>
    <w:pPr>
      <w:tabs>
        <w:tab w:val="left" w:leader="dot" w:pos="8280"/>
        <w:tab w:val="right" w:pos="8640"/>
      </w:tabs>
      <w:ind w:left="4320" w:right="720"/>
    </w:pPr>
  </w:style>
  <w:style w:type="paragraph" w:styleId="TOC6">
    <w:name w:val="toc 6"/>
    <w:basedOn w:val="Normal"/>
    <w:next w:val="Normal"/>
    <w:semiHidden/>
    <w:pPr>
      <w:tabs>
        <w:tab w:val="left" w:leader="dot" w:pos="8280"/>
        <w:tab w:val="right" w:pos="8640"/>
      </w:tabs>
      <w:ind w:left="3600" w:right="720"/>
    </w:pPr>
  </w:style>
  <w:style w:type="paragraph" w:styleId="TOC5">
    <w:name w:val="toc 5"/>
    <w:basedOn w:val="Normal"/>
    <w:next w:val="Normal"/>
    <w:semiHidden/>
    <w:pPr>
      <w:tabs>
        <w:tab w:val="left" w:leader="dot" w:pos="8280"/>
        <w:tab w:val="right" w:pos="8640"/>
      </w:tabs>
      <w:ind w:left="2880" w:right="720"/>
    </w:pPr>
  </w:style>
  <w:style w:type="paragraph" w:styleId="TOC4">
    <w:name w:val="toc 4"/>
    <w:basedOn w:val="Normal"/>
    <w:next w:val="Normal"/>
    <w:semiHidden/>
    <w:pPr>
      <w:tabs>
        <w:tab w:val="left" w:leader="dot" w:pos="8280"/>
        <w:tab w:val="right" w:pos="8640"/>
      </w:tabs>
      <w:ind w:left="2160" w:right="720"/>
    </w:pPr>
  </w:style>
  <w:style w:type="paragraph" w:styleId="TOC3">
    <w:name w:val="toc 3"/>
    <w:basedOn w:val="Normal"/>
    <w:next w:val="Normal"/>
    <w:semiHidden/>
    <w:rsid w:val="00E05F0A"/>
    <w:pPr>
      <w:tabs>
        <w:tab w:val="right" w:leader="dot" w:pos="9360"/>
      </w:tabs>
      <w:ind w:left="1440" w:right="720"/>
    </w:pPr>
  </w:style>
  <w:style w:type="paragraph" w:styleId="TOC2">
    <w:name w:val="toc 2"/>
    <w:basedOn w:val="Normal"/>
    <w:next w:val="Normal"/>
    <w:semiHidden/>
    <w:rsid w:val="00E05F0A"/>
    <w:pPr>
      <w:tabs>
        <w:tab w:val="right" w:leader="dot" w:pos="9360"/>
      </w:tabs>
      <w:ind w:left="720" w:right="720"/>
    </w:pPr>
  </w:style>
  <w:style w:type="paragraph" w:styleId="TOC1">
    <w:name w:val="toc 1"/>
    <w:basedOn w:val="Normal"/>
    <w:next w:val="Normal"/>
    <w:semiHidden/>
    <w:rsid w:val="00E05F0A"/>
    <w:pPr>
      <w:tabs>
        <w:tab w:val="right" w:leader="dot" w:pos="9360"/>
      </w:tabs>
      <w:spacing w:before="120" w:after="120"/>
      <w:ind w:right="720"/>
    </w:p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Normal"/>
    <w:next w:val="Normal"/>
    <w:semiHidden/>
    <w:pPr>
      <w:ind w:left="1440"/>
    </w:pPr>
  </w:style>
  <w:style w:type="paragraph" w:styleId="Index4">
    <w:name w:val="index 4"/>
    <w:basedOn w:val="Normal"/>
    <w:next w:val="Normal"/>
    <w:semiHidden/>
    <w:pPr>
      <w:ind w:left="1080"/>
    </w:p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character" w:styleId="LineNumber">
    <w:name w:val="line number"/>
    <w:basedOn w:val="DefaultParagraphFont"/>
    <w:semiHidden/>
    <w:rPr>
      <w:sz w:val="20"/>
    </w:rPr>
  </w:style>
  <w:style w:type="paragraph" w:styleId="Footer">
    <w:name w:val="footer"/>
    <w:basedOn w:val="Normal"/>
    <w:next w:val="Normal"/>
    <w:semiHidden/>
    <w:pPr>
      <w:tabs>
        <w:tab w:val="center" w:pos="4320"/>
        <w:tab w:val="right" w:pos="8640"/>
      </w:tabs>
    </w:pPr>
  </w:style>
  <w:style w:type="paragraph" w:styleId="Header">
    <w:name w:val="header"/>
    <w:basedOn w:val="Normal"/>
    <w:next w:val="Normal"/>
    <w:semiHidden/>
    <w:pPr>
      <w:tabs>
        <w:tab w:val="center" w:pos="4320"/>
        <w:tab w:val="right" w:pos="8640"/>
      </w:tabs>
    </w:pPr>
  </w:style>
  <w:style w:type="character" w:styleId="FootnoteReference">
    <w:name w:val="footnote reference"/>
    <w:basedOn w:val="DefaultParagraphFont"/>
    <w:semiHidden/>
    <w:rPr>
      <w:position w:val="6"/>
      <w:sz w:val="16"/>
    </w:rPr>
  </w:style>
  <w:style w:type="paragraph" w:styleId="FootnoteText">
    <w:name w:val="footnote text"/>
    <w:basedOn w:val="Normal"/>
    <w:semiHidden/>
    <w:rPr>
      <w:sz w:val="20"/>
    </w:rPr>
  </w:style>
  <w:style w:type="character" w:styleId="PageNumber">
    <w:name w:val="page number"/>
    <w:basedOn w:val="DefaultParagraphFont"/>
    <w:semiHidden/>
    <w:rPr>
      <w:sz w:val="20"/>
    </w:rPr>
  </w:style>
  <w:style w:type="paragraph" w:customStyle="1" w:styleId="AnnotRef">
    <w:name w:val="Annot Ref"/>
    <w:basedOn w:val="Normal"/>
    <w:rPr>
      <w:sz w:val="16"/>
    </w:rPr>
  </w:style>
  <w:style w:type="paragraph" w:customStyle="1" w:styleId="AnnotText">
    <w:name w:val="Annot Text"/>
    <w:basedOn w:val="Normal"/>
    <w:rPr>
      <w:sz w:val="20"/>
    </w:rPr>
  </w:style>
  <w:style w:type="paragraph" w:customStyle="1" w:styleId="Toc80">
    <w:name w:val="Toc 8"/>
    <w:basedOn w:val="Normal"/>
    <w:pPr>
      <w:tabs>
        <w:tab w:val="left" w:leader="dot" w:pos="8280"/>
        <w:tab w:val="right" w:leader="dot" w:pos="8640"/>
      </w:tabs>
      <w:ind w:left="5040" w:right="720"/>
    </w:pPr>
  </w:style>
  <w:style w:type="paragraph" w:customStyle="1" w:styleId="Toc70">
    <w:name w:val="Toc 7"/>
    <w:basedOn w:val="Normal"/>
    <w:pPr>
      <w:tabs>
        <w:tab w:val="left" w:leader="dot" w:pos="8280"/>
        <w:tab w:val="right" w:leader="dot" w:pos="8640"/>
      </w:tabs>
      <w:ind w:left="4320" w:right="720"/>
    </w:pPr>
  </w:style>
  <w:style w:type="paragraph" w:customStyle="1" w:styleId="Toc60">
    <w:name w:val="Toc 6"/>
    <w:basedOn w:val="Normal"/>
    <w:pPr>
      <w:tabs>
        <w:tab w:val="left" w:leader="dot" w:pos="8280"/>
        <w:tab w:val="right" w:leader="dot" w:pos="8640"/>
      </w:tabs>
      <w:ind w:left="3600" w:right="720"/>
    </w:pPr>
  </w:style>
  <w:style w:type="paragraph" w:customStyle="1" w:styleId="Toc50">
    <w:name w:val="Toc 5"/>
    <w:basedOn w:val="Normal"/>
    <w:pPr>
      <w:tabs>
        <w:tab w:val="left" w:leader="dot" w:pos="8280"/>
        <w:tab w:val="right" w:leader="dot" w:pos="8640"/>
      </w:tabs>
      <w:ind w:left="2880" w:right="720"/>
    </w:pPr>
  </w:style>
  <w:style w:type="paragraph" w:customStyle="1" w:styleId="Toc40">
    <w:name w:val="Toc 4"/>
    <w:basedOn w:val="Normal"/>
    <w:pPr>
      <w:tabs>
        <w:tab w:val="left" w:leader="dot" w:pos="8280"/>
        <w:tab w:val="right" w:leader="dot" w:pos="8640"/>
      </w:tabs>
      <w:ind w:left="2160" w:right="720"/>
    </w:pPr>
  </w:style>
  <w:style w:type="paragraph" w:customStyle="1" w:styleId="Toc30">
    <w:name w:val="Toc 3"/>
    <w:basedOn w:val="Normal"/>
    <w:pPr>
      <w:tabs>
        <w:tab w:val="left" w:leader="dot" w:pos="8280"/>
        <w:tab w:val="right" w:leader="dot" w:pos="8640"/>
      </w:tabs>
      <w:ind w:left="1440" w:right="720"/>
    </w:pPr>
  </w:style>
  <w:style w:type="paragraph" w:customStyle="1" w:styleId="Toc20">
    <w:name w:val="Toc 2"/>
    <w:basedOn w:val="Normal"/>
    <w:pPr>
      <w:tabs>
        <w:tab w:val="left" w:leader="dot" w:pos="8280"/>
        <w:tab w:val="right" w:leader="dot" w:pos="8640"/>
      </w:tabs>
      <w:ind w:left="720" w:right="720"/>
    </w:pPr>
  </w:style>
  <w:style w:type="paragraph" w:customStyle="1" w:styleId="Toc10">
    <w:name w:val="Toc 1"/>
    <w:basedOn w:val="Normal"/>
    <w:pPr>
      <w:tabs>
        <w:tab w:val="left" w:leader="dot" w:pos="8280"/>
        <w:tab w:val="right" w:leader="dot" w:pos="8640"/>
      </w:tabs>
      <w:spacing w:before="120" w:after="120"/>
      <w:ind w:right="720"/>
    </w:pPr>
  </w:style>
  <w:style w:type="paragraph" w:customStyle="1" w:styleId="Index71">
    <w:name w:val="Index 71"/>
    <w:basedOn w:val="Normal"/>
    <w:pPr>
      <w:ind w:left="2160"/>
    </w:pPr>
  </w:style>
  <w:style w:type="paragraph" w:customStyle="1" w:styleId="Index61">
    <w:name w:val="Index 61"/>
    <w:basedOn w:val="Normal"/>
    <w:pPr>
      <w:ind w:left="1800"/>
    </w:pPr>
  </w:style>
  <w:style w:type="paragraph" w:customStyle="1" w:styleId="Index51">
    <w:name w:val="Index 51"/>
    <w:basedOn w:val="Normal"/>
    <w:pPr>
      <w:ind w:left="1440"/>
    </w:pPr>
  </w:style>
  <w:style w:type="paragraph" w:customStyle="1" w:styleId="Index41">
    <w:name w:val="Index 41"/>
    <w:basedOn w:val="Normal"/>
    <w:pPr>
      <w:ind w:left="1080"/>
    </w:pPr>
  </w:style>
  <w:style w:type="paragraph" w:customStyle="1" w:styleId="Index31">
    <w:name w:val="Index 31"/>
    <w:basedOn w:val="Normal"/>
    <w:pPr>
      <w:ind w:left="720"/>
    </w:pPr>
  </w:style>
  <w:style w:type="paragraph" w:customStyle="1" w:styleId="Index21">
    <w:name w:val="Index 21"/>
    <w:basedOn w:val="Normal"/>
    <w:pPr>
      <w:ind w:left="360"/>
    </w:pPr>
  </w:style>
  <w:style w:type="paragraph" w:customStyle="1" w:styleId="Index11">
    <w:name w:val="Index 11"/>
    <w:basedOn w:val="Normal"/>
  </w:style>
  <w:style w:type="paragraph" w:customStyle="1" w:styleId="LineNumber1">
    <w:name w:val="Line Number1"/>
    <w:basedOn w:val="Normal"/>
  </w:style>
  <w:style w:type="paragraph" w:customStyle="1" w:styleId="IndexHeading1">
    <w:name w:val="Index Heading1"/>
    <w:basedOn w:val="Normal"/>
  </w:style>
  <w:style w:type="paragraph" w:customStyle="1" w:styleId="Footer1">
    <w:name w:val="Footer1"/>
    <w:basedOn w:val="Normal"/>
    <w:pPr>
      <w:tabs>
        <w:tab w:val="center" w:pos="4320"/>
        <w:tab w:val="center" w:pos="8640"/>
      </w:tabs>
    </w:pPr>
  </w:style>
  <w:style w:type="paragraph" w:customStyle="1" w:styleId="Header1">
    <w:name w:val="Header1"/>
    <w:basedOn w:val="Normal"/>
    <w:pPr>
      <w:tabs>
        <w:tab w:val="center" w:pos="4320"/>
        <w:tab w:val="center" w:pos="8640"/>
      </w:tabs>
    </w:pPr>
  </w:style>
  <w:style w:type="paragraph" w:customStyle="1" w:styleId="Footnotereference0">
    <w:name w:val="Footnote reference"/>
    <w:basedOn w:val="Normal"/>
    <w:rPr>
      <w:position w:val="5"/>
      <w:sz w:val="16"/>
    </w:rPr>
  </w:style>
  <w:style w:type="paragraph" w:customStyle="1" w:styleId="Footnotetext0">
    <w:name w:val="Footnote text"/>
    <w:basedOn w:val="Normal"/>
    <w:rPr>
      <w:sz w:val="20"/>
    </w:rPr>
  </w:style>
  <w:style w:type="paragraph" w:customStyle="1" w:styleId="Heading91">
    <w:name w:val="Heading 91"/>
    <w:basedOn w:val="Normal"/>
    <w:pPr>
      <w:ind w:left="720"/>
    </w:pPr>
    <w:rPr>
      <w:sz w:val="20"/>
    </w:rPr>
  </w:style>
  <w:style w:type="paragraph" w:customStyle="1" w:styleId="Heading81">
    <w:name w:val="Heading 81"/>
    <w:basedOn w:val="Normal"/>
    <w:pPr>
      <w:ind w:left="720"/>
    </w:pPr>
    <w:rPr>
      <w:sz w:val="20"/>
    </w:rPr>
  </w:style>
  <w:style w:type="paragraph" w:customStyle="1" w:styleId="Heading71">
    <w:name w:val="Heading 71"/>
    <w:basedOn w:val="Normal"/>
    <w:pPr>
      <w:ind w:left="720"/>
    </w:pPr>
    <w:rPr>
      <w:sz w:val="20"/>
    </w:rPr>
  </w:style>
  <w:style w:type="paragraph" w:customStyle="1" w:styleId="Heading61">
    <w:name w:val="Heading 61"/>
    <w:basedOn w:val="Normal"/>
    <w:pPr>
      <w:ind w:left="720"/>
    </w:pPr>
    <w:rPr>
      <w:rFonts w:ascii="Helvetica" w:hAnsi="Helvetica"/>
      <w:color w:val="FFFFFF"/>
      <w:sz w:val="20"/>
    </w:rPr>
  </w:style>
  <w:style w:type="paragraph" w:customStyle="1" w:styleId="Heading51">
    <w:name w:val="Heading 51"/>
    <w:basedOn w:val="Normal"/>
    <w:pPr>
      <w:ind w:left="720"/>
    </w:pPr>
    <w:rPr>
      <w:sz w:val="20"/>
    </w:rPr>
  </w:style>
  <w:style w:type="paragraph" w:customStyle="1" w:styleId="Heading41">
    <w:name w:val="Heading 41"/>
    <w:basedOn w:val="Normal"/>
    <w:pPr>
      <w:ind w:left="360"/>
    </w:pPr>
    <w:rPr>
      <w:color w:val="FFFFFF"/>
    </w:rPr>
  </w:style>
  <w:style w:type="paragraph" w:customStyle="1" w:styleId="Heading31">
    <w:name w:val="Heading 31"/>
    <w:basedOn w:val="Normal"/>
    <w:pPr>
      <w:ind w:left="360"/>
    </w:pPr>
  </w:style>
  <w:style w:type="paragraph" w:customStyle="1" w:styleId="Heading21">
    <w:name w:val="Heading 21"/>
    <w:basedOn w:val="Normal"/>
    <w:pPr>
      <w:spacing w:before="240"/>
    </w:pPr>
    <w:rPr>
      <w:rFonts w:ascii="Helvetica" w:hAnsi="Helvetica"/>
    </w:rPr>
  </w:style>
  <w:style w:type="paragraph" w:customStyle="1" w:styleId="Heading11">
    <w:name w:val="Heading 11"/>
    <w:basedOn w:val="Normal"/>
    <w:pPr>
      <w:spacing w:before="240"/>
    </w:pPr>
    <w:rPr>
      <w:rFonts w:ascii="Helvetica" w:hAnsi="Helvetica"/>
      <w:color w:val="FFFFFF"/>
    </w:rPr>
  </w:style>
  <w:style w:type="paragraph" w:styleId="NormalIndent">
    <w:name w:val="Normal Indent"/>
    <w:basedOn w:val="Normal"/>
    <w:semiHidden/>
    <w:pPr>
      <w:ind w:left="720"/>
    </w:pPr>
  </w:style>
  <w:style w:type="paragraph" w:customStyle="1" w:styleId="Rule">
    <w:name w:val="Rule"/>
    <w:basedOn w:val="Normal"/>
    <w:pPr>
      <w:spacing w:before="240"/>
    </w:pPr>
  </w:style>
  <w:style w:type="paragraph" w:customStyle="1" w:styleId="Recommendation">
    <w:name w:val="Recommendation"/>
    <w:basedOn w:val="Normal"/>
    <w:pPr>
      <w:spacing w:before="240"/>
    </w:pPr>
  </w:style>
  <w:style w:type="paragraph" w:customStyle="1" w:styleId="Permission">
    <w:name w:val="Permission"/>
    <w:basedOn w:val="Normal"/>
    <w:pPr>
      <w:spacing w:before="240"/>
    </w:pPr>
  </w:style>
  <w:style w:type="paragraph" w:customStyle="1" w:styleId="Bullet">
    <w:name w:val="Bullet"/>
    <w:basedOn w:val="Normal"/>
    <w:pPr>
      <w:tabs>
        <w:tab w:val="left" w:pos="450"/>
      </w:tabs>
      <w:ind w:left="450" w:hanging="450"/>
    </w:pPr>
    <w:rPr>
      <w:sz w:val="20"/>
    </w:rPr>
  </w:style>
  <w:style w:type="paragraph" w:customStyle="1" w:styleId="NParagraph">
    <w:name w:val="NParagraph"/>
    <w:basedOn w:val="Normal"/>
    <w:pPr>
      <w:ind w:firstLine="360"/>
    </w:pPr>
    <w:rPr>
      <w:sz w:val="20"/>
    </w:rPr>
  </w:style>
  <w:style w:type="paragraph" w:customStyle="1" w:styleId="code">
    <w:name w:val="code"/>
    <w:basedOn w:val="Normal"/>
    <w:pPr>
      <w:tabs>
        <w:tab w:val="left" w:pos="3240"/>
      </w:tabs>
      <w:ind w:left="720"/>
    </w:pPr>
    <w:rPr>
      <w:rFonts w:ascii="Courier" w:hAnsi="Courier"/>
    </w:rPr>
  </w:style>
  <w:style w:type="paragraph" w:customStyle="1" w:styleId="Sectiontitle">
    <w:name w:val="Section title"/>
    <w:basedOn w:val="Normal"/>
    <w:pPr>
      <w:ind w:right="-720"/>
    </w:pPr>
    <w:rPr>
      <w:b/>
      <w:sz w:val="28"/>
      <w:u w:val="single"/>
    </w:rPr>
  </w:style>
  <w:style w:type="character" w:styleId="CommentReference">
    <w:name w:val="annotation reference"/>
    <w:semiHidden/>
    <w:rPr>
      <w:rFonts w:ascii="Times" w:hAnsi="Times"/>
      <w:sz w:val="16"/>
    </w:rPr>
  </w:style>
  <w:style w:type="paragraph" w:styleId="CommentText">
    <w:name w:val="annotation text"/>
    <w:basedOn w:val="Normal"/>
    <w:next w:val="Normal"/>
    <w:semiHidden/>
    <w:pPr>
      <w:spacing w:before="120" w:after="80" w:line="240" w:lineRule="atLeast"/>
      <w:ind w:left="240" w:hanging="240"/>
    </w:pPr>
    <w:rPr>
      <w:color w:val="00FF00"/>
      <w:sz w:val="20"/>
    </w:rPr>
  </w:style>
  <w:style w:type="paragraph" w:styleId="IndexHeading">
    <w:name w:val="index heading"/>
    <w:basedOn w:val="Normal"/>
    <w:next w:val="Normal"/>
    <w:semiHidden/>
    <w:rPr>
      <w:sz w:val="20"/>
    </w:rPr>
  </w:style>
  <w:style w:type="paragraph" w:customStyle="1" w:styleId="Normalindent0">
    <w:name w:val="Normal indent"/>
    <w:basedOn w:val="Normal"/>
    <w:next w:val="Normal"/>
    <w:pPr>
      <w:ind w:left="720"/>
    </w:pPr>
    <w:rPr>
      <w:sz w:val="20"/>
    </w:r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pPr>
    <w:rPr>
      <w:rFonts w:ascii="Helvetica" w:hAnsi="Helvetica"/>
      <w:b/>
      <w:sz w:val="20"/>
      <w:u w:val="single"/>
    </w:rPr>
  </w:style>
  <w:style w:type="paragraph" w:customStyle="1" w:styleId="TipFlag">
    <w:name w:val="Tip Flag"/>
    <w:basedOn w:val="Normal"/>
    <w:next w:val="Normal"/>
    <w:pPr>
      <w:keepNext/>
      <w:spacing w:before="120" w:after="120" w:line="240" w:lineRule="atLeast"/>
      <w:jc w:val="center"/>
    </w:pPr>
    <w:rPr>
      <w:b/>
      <w:sz w:val="28"/>
    </w:rPr>
  </w:style>
  <w:style w:type="paragraph" w:customStyle="1" w:styleId="bu">
    <w:name w:val="bu"/>
    <w:basedOn w:val="Normal"/>
    <w:pPr>
      <w:spacing w:before="120" w:after="120" w:line="240" w:lineRule="atLeast"/>
      <w:ind w:left="120" w:hanging="120"/>
    </w:pPr>
    <w:rPr>
      <w:sz w:val="20"/>
    </w:rPr>
  </w:style>
  <w:style w:type="paragraph" w:customStyle="1" w:styleId="ue">
    <w:name w:val="ue"/>
    <w:basedOn w:val="Normal"/>
    <w:next w:val="Normal"/>
    <w:pPr>
      <w:spacing w:line="240" w:lineRule="atLeast"/>
      <w:ind w:left="720"/>
    </w:pPr>
    <w:rPr>
      <w:rFonts w:ascii="Helvetica" w:hAnsi="Helvetica"/>
      <w:sz w:val="20"/>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sz w:val="20"/>
    </w:rPr>
  </w:style>
  <w:style w:type="paragraph" w:customStyle="1" w:styleId="figcap">
    <w:name w:val="figcap"/>
    <w:basedOn w:val="Normal"/>
    <w:next w:val="Normal"/>
    <w:pPr>
      <w:spacing w:after="120" w:line="480" w:lineRule="atLeast"/>
      <w:ind w:left="720" w:hanging="720"/>
    </w:pPr>
    <w:rPr>
      <w:sz w:val="20"/>
    </w:rPr>
  </w:style>
  <w:style w:type="paragraph" w:customStyle="1" w:styleId="ack">
    <w:name w:val="ack"/>
    <w:basedOn w:val="Normal"/>
    <w:next w:val="Normal"/>
    <w:pPr>
      <w:spacing w:line="480" w:lineRule="atLeast"/>
      <w:ind w:left="360"/>
    </w:pPr>
    <w:rPr>
      <w:sz w:val="16"/>
    </w:rPr>
  </w:style>
  <w:style w:type="paragraph" w:customStyle="1" w:styleId="paragraph">
    <w:name w:val="paragraph"/>
    <w:basedOn w:val="Normal"/>
    <w:pPr>
      <w:spacing w:after="80" w:line="480" w:lineRule="atLeast"/>
      <w:ind w:firstLine="720"/>
    </w:pPr>
    <w:rPr>
      <w:sz w:val="20"/>
    </w:rPr>
  </w:style>
  <w:style w:type="paragraph" w:customStyle="1" w:styleId="bt1">
    <w:name w:val="bt1"/>
    <w:basedOn w:val="Normal"/>
    <w:pPr>
      <w:spacing w:after="120"/>
      <w:ind w:left="180"/>
    </w:pPr>
    <w:rPr>
      <w:sz w:val="20"/>
    </w:rPr>
  </w:style>
  <w:style w:type="paragraph" w:customStyle="1" w:styleId="bt2">
    <w:name w:val="bt2"/>
    <w:basedOn w:val="Normal"/>
    <w:pPr>
      <w:spacing w:after="120"/>
      <w:ind w:left="360"/>
    </w:pPr>
    <w:rPr>
      <w:sz w:val="20"/>
    </w:rPr>
  </w:style>
  <w:style w:type="paragraph" w:customStyle="1" w:styleId="bt3">
    <w:name w:val="bt3"/>
    <w:basedOn w:val="Normal"/>
    <w:pPr>
      <w:ind w:left="720"/>
    </w:pPr>
    <w:rPr>
      <w:sz w:val="20"/>
    </w:rPr>
  </w:style>
  <w:style w:type="paragraph" w:customStyle="1" w:styleId="bt4">
    <w:name w:val="bt4"/>
    <w:basedOn w:val="Normal"/>
    <w:pPr>
      <w:ind w:left="1080"/>
    </w:pPr>
    <w:rPr>
      <w:sz w:val="20"/>
    </w:rPr>
  </w:style>
  <w:style w:type="paragraph" w:customStyle="1" w:styleId="bt5">
    <w:name w:val="bt5"/>
    <w:basedOn w:val="Normal"/>
    <w:pPr>
      <w:ind w:left="1440"/>
    </w:pPr>
    <w:rPr>
      <w:sz w:val="20"/>
    </w:rPr>
  </w:style>
  <w:style w:type="paragraph" w:customStyle="1" w:styleId="bt6">
    <w:name w:val="bt6"/>
    <w:basedOn w:val="Normal"/>
    <w:pPr>
      <w:ind w:left="1800"/>
    </w:pPr>
    <w:rPr>
      <w:sz w:val="20"/>
    </w:rPr>
  </w:style>
  <w:style w:type="paragraph" w:customStyle="1" w:styleId="bt7">
    <w:name w:val="bt7"/>
    <w:basedOn w:val="Normal"/>
    <w:pPr>
      <w:ind w:left="2160"/>
    </w:pPr>
    <w:rPr>
      <w:sz w:val="20"/>
    </w:rPr>
  </w:style>
  <w:style w:type="paragraph" w:customStyle="1" w:styleId="bt8">
    <w:name w:val="bt8"/>
    <w:basedOn w:val="Normal"/>
    <w:pPr>
      <w:ind w:left="2520"/>
    </w:pPr>
    <w:rPr>
      <w:sz w:val="20"/>
    </w:rPr>
  </w:style>
  <w:style w:type="paragraph" w:customStyle="1" w:styleId="bt9">
    <w:name w:val="bt9"/>
    <w:basedOn w:val="Normal"/>
    <w:pPr>
      <w:ind w:left="2880"/>
    </w:pPr>
    <w:rPr>
      <w:sz w:val="20"/>
    </w:rPr>
  </w:style>
  <w:style w:type="paragraph" w:customStyle="1" w:styleId="pr">
    <w:name w:val="pr"/>
    <w:basedOn w:val="ibu"/>
    <w:pPr>
      <w:keepLines w:val="0"/>
      <w:tabs>
        <w:tab w:val="clear" w:pos="840"/>
      </w:tabs>
      <w:spacing w:before="0" w:after="0" w:line="480" w:lineRule="atLeast"/>
      <w:ind w:left="1080" w:hanging="360"/>
    </w:pPr>
  </w:style>
  <w:style w:type="paragraph" w:customStyle="1" w:styleId="tab2right">
    <w:name w:val="tab2right"/>
    <w:basedOn w:val="Normal"/>
    <w:pPr>
      <w:spacing w:line="240" w:lineRule="atLeast"/>
      <w:jc w:val="center"/>
    </w:pPr>
    <w:rPr>
      <w:sz w:val="20"/>
    </w:rPr>
  </w:style>
  <w:style w:type="character" w:styleId="Hyperlink">
    <w:name w:val="Hyperlink"/>
    <w:basedOn w:val="DefaultParagraphFont"/>
    <w:semiHidden/>
    <w:rPr>
      <w:color w:val="0000FF"/>
      <w:sz w:val="20"/>
      <w:u w:val="single"/>
    </w:rPr>
  </w:style>
  <w:style w:type="paragraph" w:styleId="BalloonText">
    <w:name w:val="Balloon Text"/>
    <w:basedOn w:val="Normal"/>
    <w:link w:val="BalloonTextChar"/>
    <w:uiPriority w:val="99"/>
    <w:semiHidden/>
    <w:unhideWhenUsed/>
    <w:rsid w:val="00533D04"/>
    <w:rPr>
      <w:rFonts w:ascii="Tahoma" w:hAnsi="Tahoma" w:cs="Tahoma"/>
      <w:sz w:val="16"/>
      <w:szCs w:val="16"/>
    </w:rPr>
  </w:style>
  <w:style w:type="character" w:customStyle="1" w:styleId="BalloonTextChar">
    <w:name w:val="Balloon Text Char"/>
    <w:basedOn w:val="DefaultParagraphFont"/>
    <w:link w:val="BalloonText"/>
    <w:uiPriority w:val="99"/>
    <w:semiHidden/>
    <w:rsid w:val="00533D04"/>
    <w:rPr>
      <w:rFonts w:ascii="Tahoma" w:hAnsi="Tahoma" w:cs="Tahoma"/>
      <w:sz w:val="16"/>
      <w:szCs w:val="16"/>
    </w:rPr>
  </w:style>
  <w:style w:type="paragraph" w:customStyle="1" w:styleId="WarrHd">
    <w:name w:val="WarrHd"/>
    <w:next w:val="Normal"/>
    <w:rsid w:val="00B65BDA"/>
    <w:pPr>
      <w:spacing w:before="200"/>
    </w:pPr>
    <w:rPr>
      <w:rFonts w:ascii="Arial" w:hAnsi="Arial"/>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footer" Target="footer9.xml"/><Relationship Id="rId34"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header" Target="header1.xml"/><Relationship Id="rId17" Type="http://schemas.openxmlformats.org/officeDocument/2006/relationships/footer" Target="footer7.xml"/><Relationship Id="rId25" Type="http://schemas.openxmlformats.org/officeDocument/2006/relationships/header" Target="header7.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footer" Target="footer8.xml"/><Relationship Id="rId29"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hyperlink" Target="mailto:admin@ivifoundation.org" TargetMode="External"/><Relationship Id="rId32" Type="http://schemas.openxmlformats.org/officeDocument/2006/relationships/footer" Target="footer12.xml"/><Relationship Id="rId5"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footer" Target="footer10.xml"/><Relationship Id="rId28" Type="http://schemas.openxmlformats.org/officeDocument/2006/relationships/footer" Target="footer11.xml"/><Relationship Id="rId10" Type="http://schemas.openxmlformats.org/officeDocument/2006/relationships/footer" Target="footer3.xml"/><Relationship Id="rId19" Type="http://schemas.openxmlformats.org/officeDocument/2006/relationships/header" Target="header5.xml"/><Relationship Id="rId31" Type="http://schemas.openxmlformats.org/officeDocument/2006/relationships/header" Target="header1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header" Target="header6.xml"/><Relationship Id="rId27" Type="http://schemas.openxmlformats.org/officeDocument/2006/relationships/header" Target="header9.xml"/><Relationship Id="rId30" Type="http://schemas.openxmlformats.org/officeDocument/2006/relationships/header" Target="head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2397</Words>
  <Characters>13664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vpp9: instr vendor abbreviations</vt:lpstr>
    </vt:vector>
  </TitlesOfParts>
  <Company>IVI Foundation</Company>
  <LinksUpToDate>false</LinksUpToDate>
  <CharactersWithSpaces>16029</CharactersWithSpaces>
  <SharedDoc>false</SharedDoc>
  <HLinks>
    <vt:vector size="6" baseType="variant">
      <vt:variant>
        <vt:i4>7274561</vt:i4>
      </vt:variant>
      <vt:variant>
        <vt:i4>27</vt:i4>
      </vt:variant>
      <vt:variant>
        <vt:i4>0</vt:i4>
      </vt:variant>
      <vt:variant>
        <vt:i4>5</vt:i4>
      </vt:variant>
      <vt:variant>
        <vt:lpwstr>mailto:admin@ivifoundation.org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vpp9: instr vendor abbreviations</dc:title>
  <dc:creator>Bob Helsel</dc:creator>
  <cp:lastModifiedBy>Bob  Helsel</cp:lastModifiedBy>
  <cp:revision>2</cp:revision>
  <cp:lastPrinted>2010-05-13T16:26:00Z</cp:lastPrinted>
  <dcterms:created xsi:type="dcterms:W3CDTF">2010-05-13T17:17:00Z</dcterms:created>
  <dcterms:modified xsi:type="dcterms:W3CDTF">2010-05-13T17:17:00Z</dcterms:modified>
</cp:coreProperties>
</file>