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8621A" w14:textId="7C5C9A1C" w:rsidR="00375BE4" w:rsidRDefault="00BA25DD" w:rsidP="002A0EA5">
      <w:pPr>
        <w:pStyle w:val="Heading4"/>
      </w:pPr>
      <w:r>
        <w:t xml:space="preserve">Producer Consumer </w:t>
      </w:r>
      <w:r w:rsidR="002A0EA5">
        <w:t>Problem</w:t>
      </w:r>
    </w:p>
    <w:p w14:paraId="1CB5DE86" w14:textId="77777777" w:rsidR="002A0EA5" w:rsidRDefault="002A0EA5" w:rsidP="002A0EA5"/>
    <w:p w14:paraId="46D83522" w14:textId="279DB6DB" w:rsidR="002A0EA5" w:rsidRDefault="002A0EA5" w:rsidP="002A0EA5">
      <w:pPr>
        <w:pStyle w:val="Heading1"/>
      </w:pPr>
      <w:r>
        <w:t>Aim:</w:t>
      </w:r>
    </w:p>
    <w:p w14:paraId="53F01F72" w14:textId="48597978" w:rsidR="004F3570" w:rsidRPr="004F3570" w:rsidRDefault="004F3570" w:rsidP="004F3570">
      <w:r>
        <w:tab/>
        <w:t>To implement a solution for Producer consumer problem using Semaphores.</w:t>
      </w:r>
    </w:p>
    <w:p w14:paraId="1102FC62" w14:textId="77777777" w:rsidR="002A0EA5" w:rsidRDefault="002A0EA5" w:rsidP="002A0EA5"/>
    <w:p w14:paraId="76212297" w14:textId="402B722D" w:rsidR="00BA25DD" w:rsidRDefault="002A0EA5" w:rsidP="00BA25DD">
      <w:pPr>
        <w:pStyle w:val="Heading1"/>
      </w:pPr>
      <w:r>
        <w:t>D</w:t>
      </w:r>
      <w:r w:rsidR="00BA25DD">
        <w:t>escription:</w:t>
      </w:r>
    </w:p>
    <w:p w14:paraId="2073DD55" w14:textId="77777777" w:rsidR="00090B72" w:rsidRDefault="00090B72" w:rsidP="002A11B9">
      <w:pPr>
        <w:ind w:left="720"/>
      </w:pPr>
      <w:r w:rsidRPr="002A11B9">
        <w:rPr>
          <w:b/>
          <w:bCs/>
        </w:rPr>
        <w:t>Define a Shared Data Structure</w:t>
      </w:r>
      <w:r>
        <w:t>: Establish a buffer of fixed size to facilitate communication between producers and consumers. This buffer serves as the intermediary storage for items produced by producers and consumed by consumers, allowing for efficient data exchange.</w:t>
      </w:r>
    </w:p>
    <w:p w14:paraId="1DA5DE35" w14:textId="77777777" w:rsidR="00090B72" w:rsidRPr="002A11B9" w:rsidRDefault="00090B72" w:rsidP="00090B72">
      <w:pPr>
        <w:rPr>
          <w:b/>
          <w:bCs/>
        </w:rPr>
      </w:pPr>
    </w:p>
    <w:p w14:paraId="17FECAAA" w14:textId="77777777" w:rsidR="00090B72" w:rsidRDefault="00090B72" w:rsidP="002A11B9">
      <w:pPr>
        <w:ind w:left="720"/>
      </w:pPr>
      <w:r w:rsidRPr="002A11B9">
        <w:rPr>
          <w:b/>
          <w:bCs/>
        </w:rPr>
        <w:t>Utilize Synchronization Primitives:</w:t>
      </w:r>
      <w:r>
        <w:t xml:space="preserve"> Employ semaphores, such as empty, full, and mutex, to manage access to the shared buffer and synchronize the actions of producers and consumers. The empty semaphore tracks the number of empty slots in the buffer, full indicates the number of filled slots, and mutex ensures mutual exclusion to prevent data corruption.</w:t>
      </w:r>
    </w:p>
    <w:p w14:paraId="63915208" w14:textId="77777777" w:rsidR="00090B72" w:rsidRDefault="00090B72" w:rsidP="00090B72"/>
    <w:p w14:paraId="24B1ABDC" w14:textId="77777777" w:rsidR="00090B72" w:rsidRDefault="00090B72" w:rsidP="002A11B9">
      <w:pPr>
        <w:ind w:left="720"/>
      </w:pPr>
      <w:r w:rsidRPr="002A11B9">
        <w:rPr>
          <w:b/>
          <w:bCs/>
        </w:rPr>
        <w:t>Producer Logic:</w:t>
      </w:r>
      <w:r>
        <w:t xml:space="preserve"> Producers follow a protocol where they first wait on the empty semaphore, ensuring there is available space in the buffer to deposit new items. Once space is available, they enter a critical section protected by the mutex semaphore, where they deposit items into the buffer. After depositing an item, they signal the full semaphore to notify consumers of the availability of new data.</w:t>
      </w:r>
    </w:p>
    <w:p w14:paraId="2A5BA74D" w14:textId="77777777" w:rsidR="00090B72" w:rsidRDefault="00090B72" w:rsidP="00090B72"/>
    <w:p w14:paraId="4F1AD111" w14:textId="77777777" w:rsidR="00090B72" w:rsidRDefault="00090B72" w:rsidP="002A11B9">
      <w:pPr>
        <w:ind w:left="720"/>
      </w:pPr>
      <w:r w:rsidRPr="002A11B9">
        <w:rPr>
          <w:b/>
          <w:bCs/>
        </w:rPr>
        <w:t>Consumer Logic</w:t>
      </w:r>
      <w:r>
        <w:t>: Consumers adhere to a similar protocol, where they first wait on the full semaphore, ensuring there are items available for consumption in the buffer. Once an item is available, they enter a critical section protected by the mutex semaphore, where they retrieve items from the buffer for processing. After consuming an item, they signal the empty semaphore to inform producers that space is available for new items.</w:t>
      </w:r>
    </w:p>
    <w:p w14:paraId="145A7180" w14:textId="77777777" w:rsidR="00090B72" w:rsidRDefault="00090B72" w:rsidP="00090B72"/>
    <w:p w14:paraId="5DDD738A" w14:textId="52D35137" w:rsidR="00BA25DD" w:rsidRDefault="00090B72" w:rsidP="002A11B9">
      <w:pPr>
        <w:ind w:left="720"/>
      </w:pPr>
      <w:r w:rsidRPr="002A11B9">
        <w:rPr>
          <w:b/>
          <w:bCs/>
        </w:rPr>
        <w:t>Initialization and Termination</w:t>
      </w:r>
      <w:r>
        <w:t xml:space="preserve">: Begin by initializing the semaphores (empty, full, mutex) and creating producer and consumer threads/processes. During </w:t>
      </w:r>
      <w:r>
        <w:lastRenderedPageBreak/>
        <w:t>execution, these threads/processes interact with the shared buffer according to the defined protocols. Finally, ensure proper termination and cleanup procedures to release allocated resources and maintain system integrity.</w:t>
      </w:r>
    </w:p>
    <w:p w14:paraId="6E69F58A" w14:textId="25F49718" w:rsidR="00BA25DD" w:rsidRDefault="00BA25DD" w:rsidP="00BA25DD">
      <w:pPr>
        <w:pStyle w:val="Heading1"/>
      </w:pPr>
      <w:r>
        <w:t>Code</w:t>
      </w:r>
    </w:p>
    <w:p w14:paraId="65F58D83" w14:textId="44AD7D6E" w:rsidR="00BA25DD" w:rsidRDefault="007232D8" w:rsidP="00BA25DD">
      <w:r w:rsidRPr="007232D8">
        <w:drawing>
          <wp:inline distT="0" distB="0" distL="0" distR="0" wp14:anchorId="4EB1B060" wp14:editId="2109C4A2">
            <wp:extent cx="5943600" cy="5124450"/>
            <wp:effectExtent l="0" t="0" r="0" b="0"/>
            <wp:docPr id="35904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43502" name=""/>
                    <pic:cNvPicPr/>
                  </pic:nvPicPr>
                  <pic:blipFill>
                    <a:blip r:embed="rId6"/>
                    <a:stretch>
                      <a:fillRect/>
                    </a:stretch>
                  </pic:blipFill>
                  <pic:spPr>
                    <a:xfrm>
                      <a:off x="0" y="0"/>
                      <a:ext cx="5943600" cy="5124450"/>
                    </a:xfrm>
                    <a:prstGeom prst="rect">
                      <a:avLst/>
                    </a:prstGeom>
                  </pic:spPr>
                </pic:pic>
              </a:graphicData>
            </a:graphic>
          </wp:inline>
        </w:drawing>
      </w:r>
    </w:p>
    <w:p w14:paraId="59CEDDFC" w14:textId="378B7A2D" w:rsidR="007232D8" w:rsidRDefault="00ED4E07" w:rsidP="00BA25DD">
      <w:r w:rsidRPr="00ED4E07">
        <w:drawing>
          <wp:inline distT="0" distB="0" distL="0" distR="0" wp14:anchorId="7CDAE610" wp14:editId="0301D46E">
            <wp:extent cx="5943600" cy="1231900"/>
            <wp:effectExtent l="0" t="0" r="0" b="6350"/>
            <wp:docPr id="3637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41378" name=""/>
                    <pic:cNvPicPr/>
                  </pic:nvPicPr>
                  <pic:blipFill>
                    <a:blip r:embed="rId7"/>
                    <a:stretch>
                      <a:fillRect/>
                    </a:stretch>
                  </pic:blipFill>
                  <pic:spPr>
                    <a:xfrm>
                      <a:off x="0" y="0"/>
                      <a:ext cx="5943600" cy="1231900"/>
                    </a:xfrm>
                    <a:prstGeom prst="rect">
                      <a:avLst/>
                    </a:prstGeom>
                  </pic:spPr>
                </pic:pic>
              </a:graphicData>
            </a:graphic>
          </wp:inline>
        </w:drawing>
      </w:r>
    </w:p>
    <w:p w14:paraId="2D292FE7" w14:textId="77777777" w:rsidR="00ED4E07" w:rsidRDefault="00ED4E07" w:rsidP="00BA25DD"/>
    <w:p w14:paraId="75998075" w14:textId="77777777" w:rsidR="00ED4E07" w:rsidRDefault="00ED4E07" w:rsidP="00BA25DD"/>
    <w:p w14:paraId="22364A63" w14:textId="18ED069A" w:rsidR="00ED4E07" w:rsidRDefault="00BB0515" w:rsidP="00BA25DD">
      <w:r w:rsidRPr="00BB0515">
        <w:lastRenderedPageBreak/>
        <w:drawing>
          <wp:inline distT="0" distB="0" distL="0" distR="0" wp14:anchorId="5822F8DE" wp14:editId="5A03D2D8">
            <wp:extent cx="5943600" cy="2655570"/>
            <wp:effectExtent l="0" t="0" r="0" b="0"/>
            <wp:docPr id="48893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34624" name=""/>
                    <pic:cNvPicPr/>
                  </pic:nvPicPr>
                  <pic:blipFill>
                    <a:blip r:embed="rId8"/>
                    <a:stretch>
                      <a:fillRect/>
                    </a:stretch>
                  </pic:blipFill>
                  <pic:spPr>
                    <a:xfrm>
                      <a:off x="0" y="0"/>
                      <a:ext cx="5943600" cy="2655570"/>
                    </a:xfrm>
                    <a:prstGeom prst="rect">
                      <a:avLst/>
                    </a:prstGeom>
                  </pic:spPr>
                </pic:pic>
              </a:graphicData>
            </a:graphic>
          </wp:inline>
        </w:drawing>
      </w:r>
    </w:p>
    <w:p w14:paraId="57605476" w14:textId="77777777" w:rsidR="00BA25DD" w:rsidRDefault="00BA25DD" w:rsidP="00BA25DD"/>
    <w:p w14:paraId="631AE1A8" w14:textId="0250AC8F" w:rsidR="00BA25DD" w:rsidRDefault="00BB0515" w:rsidP="00BA25DD">
      <w:pPr>
        <w:pStyle w:val="Heading1"/>
      </w:pPr>
      <w:r>
        <w:t xml:space="preserve">Sample </w:t>
      </w:r>
      <w:r w:rsidR="00BA25DD">
        <w:t>Output</w:t>
      </w:r>
    </w:p>
    <w:p w14:paraId="3B4EF530" w14:textId="4273E821" w:rsidR="00BB0515" w:rsidRPr="00BB0515" w:rsidRDefault="00D16847" w:rsidP="00BB0515">
      <w:r w:rsidRPr="00D16847">
        <w:drawing>
          <wp:inline distT="0" distB="0" distL="0" distR="0" wp14:anchorId="739D15D9" wp14:editId="6C5C1A31">
            <wp:extent cx="4846740" cy="2309060"/>
            <wp:effectExtent l="0" t="0" r="0" b="0"/>
            <wp:docPr id="48150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02417" name=""/>
                    <pic:cNvPicPr/>
                  </pic:nvPicPr>
                  <pic:blipFill>
                    <a:blip r:embed="rId9"/>
                    <a:stretch>
                      <a:fillRect/>
                    </a:stretch>
                  </pic:blipFill>
                  <pic:spPr>
                    <a:xfrm>
                      <a:off x="0" y="0"/>
                      <a:ext cx="4846740" cy="2309060"/>
                    </a:xfrm>
                    <a:prstGeom prst="rect">
                      <a:avLst/>
                    </a:prstGeom>
                  </pic:spPr>
                </pic:pic>
              </a:graphicData>
            </a:graphic>
          </wp:inline>
        </w:drawing>
      </w:r>
    </w:p>
    <w:p w14:paraId="0055442B" w14:textId="77777777" w:rsidR="00BA25DD" w:rsidRDefault="00BA25DD" w:rsidP="00BA25DD"/>
    <w:p w14:paraId="39F44DE7" w14:textId="77777777" w:rsidR="00BA25DD" w:rsidRDefault="00BA25DD" w:rsidP="00BA25DD"/>
    <w:p w14:paraId="587C2B7B" w14:textId="5C1DC440" w:rsidR="00BA25DD" w:rsidRDefault="00BA25DD" w:rsidP="00BA25DD">
      <w:pPr>
        <w:pStyle w:val="Heading1"/>
      </w:pPr>
      <w:r>
        <w:t>Result</w:t>
      </w:r>
    </w:p>
    <w:p w14:paraId="545483E2" w14:textId="00ADEC4A" w:rsidR="00BA25DD" w:rsidRPr="00BA25DD" w:rsidRDefault="00BA25DD" w:rsidP="00BA25DD">
      <w:r>
        <w:tab/>
        <w:t>The program has been executed and output has been verified</w:t>
      </w:r>
    </w:p>
    <w:sectPr w:rsidR="00BA25DD" w:rsidRPr="00BA25DD" w:rsidSect="002A0EA5">
      <w:headerReference w:type="default" r:id="rId10"/>
      <w:headerReference w:type="first" r:id="rId11"/>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CBB6F" w14:textId="77777777" w:rsidR="002A0EA5" w:rsidRDefault="002A0EA5" w:rsidP="002A0EA5">
      <w:r>
        <w:separator/>
      </w:r>
    </w:p>
  </w:endnote>
  <w:endnote w:type="continuationSeparator" w:id="0">
    <w:p w14:paraId="1131C083" w14:textId="77777777" w:rsidR="002A0EA5" w:rsidRDefault="002A0EA5" w:rsidP="002A0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78742" w14:textId="77777777" w:rsidR="002A0EA5" w:rsidRDefault="002A0EA5" w:rsidP="002A0EA5">
      <w:r>
        <w:separator/>
      </w:r>
    </w:p>
  </w:footnote>
  <w:footnote w:type="continuationSeparator" w:id="0">
    <w:p w14:paraId="41E7C091" w14:textId="77777777" w:rsidR="002A0EA5" w:rsidRDefault="002A0EA5" w:rsidP="002A0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8295F" w14:textId="6BFF9056" w:rsidR="002A0EA5" w:rsidRDefault="002A0EA5">
    <w:pPr>
      <w:pStyle w:val="Header"/>
    </w:pPr>
  </w:p>
  <w:p w14:paraId="19D1053B" w14:textId="77777777" w:rsidR="002A0EA5" w:rsidRDefault="002A0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D5859" w14:textId="6F7CC232" w:rsidR="002A0EA5" w:rsidRDefault="002A0EA5">
    <w:pPr>
      <w:pStyle w:val="Header"/>
    </w:pPr>
    <w:r>
      <w:t>Experiment 8</w:t>
    </w:r>
  </w:p>
  <w:p w14:paraId="5EA87D4F" w14:textId="6A5BAD60" w:rsidR="002A0EA5" w:rsidRDefault="002A0EA5">
    <w:pPr>
      <w:pStyle w:val="Header"/>
    </w:pPr>
    <w:r>
      <w:t>19-04-2024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A5"/>
    <w:rsid w:val="00090B72"/>
    <w:rsid w:val="00216BAB"/>
    <w:rsid w:val="00265B4D"/>
    <w:rsid w:val="002A0EA5"/>
    <w:rsid w:val="002A11B9"/>
    <w:rsid w:val="00375BE4"/>
    <w:rsid w:val="004F3570"/>
    <w:rsid w:val="007232D8"/>
    <w:rsid w:val="00A457F2"/>
    <w:rsid w:val="00B862C0"/>
    <w:rsid w:val="00BA25DD"/>
    <w:rsid w:val="00BB0515"/>
    <w:rsid w:val="00D16847"/>
    <w:rsid w:val="00ED4E07"/>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C9C2"/>
  <w15:chartTrackingRefBased/>
  <w15:docId w15:val="{DDEF8282-C2C5-434C-94EA-7940F677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F2"/>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4">
    <w:name w:val="heading 4"/>
    <w:basedOn w:val="Normal"/>
    <w:next w:val="Normal"/>
    <w:link w:val="Heading4Char"/>
    <w:autoRedefine/>
    <w:uiPriority w:val="9"/>
    <w:unhideWhenUsed/>
    <w:qFormat/>
    <w:rsid w:val="002A0EA5"/>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0EA5"/>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2A0EA5"/>
    <w:pPr>
      <w:tabs>
        <w:tab w:val="center" w:pos="4680"/>
        <w:tab w:val="right" w:pos="9360"/>
      </w:tabs>
    </w:pPr>
  </w:style>
  <w:style w:type="character" w:customStyle="1" w:styleId="HeaderChar">
    <w:name w:val="Header Char"/>
    <w:basedOn w:val="DefaultParagraphFont"/>
    <w:link w:val="Header"/>
    <w:uiPriority w:val="99"/>
    <w:rsid w:val="002A0EA5"/>
    <w:rPr>
      <w:rFonts w:eastAsiaTheme="minorEastAsia" w:cs="Times New Roman"/>
      <w:kern w:val="0"/>
      <w:sz w:val="28"/>
      <w:szCs w:val="24"/>
      <w14:ligatures w14:val="none"/>
    </w:rPr>
  </w:style>
  <w:style w:type="paragraph" w:styleId="Footer">
    <w:name w:val="footer"/>
    <w:basedOn w:val="Normal"/>
    <w:link w:val="FooterChar"/>
    <w:uiPriority w:val="99"/>
    <w:unhideWhenUsed/>
    <w:rsid w:val="002A0EA5"/>
    <w:pPr>
      <w:tabs>
        <w:tab w:val="center" w:pos="4680"/>
        <w:tab w:val="right" w:pos="9360"/>
      </w:tabs>
    </w:pPr>
  </w:style>
  <w:style w:type="character" w:customStyle="1" w:styleId="FooterChar">
    <w:name w:val="Footer Char"/>
    <w:basedOn w:val="DefaultParagraphFont"/>
    <w:link w:val="Footer"/>
    <w:uiPriority w:val="99"/>
    <w:rsid w:val="002A0EA5"/>
    <w:rPr>
      <w:rFonts w:eastAsiaTheme="minorEastAsia" w:cs="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8</cp:revision>
  <dcterms:created xsi:type="dcterms:W3CDTF">2024-05-06T15:20:00Z</dcterms:created>
  <dcterms:modified xsi:type="dcterms:W3CDTF">2024-05-06T15:53:00Z</dcterms:modified>
</cp:coreProperties>
</file>