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TTitle"/>
        <w:jc w:val="center"/>
      </w:pPr>
      <w:r>
        <w:t>DEFINITION OF DONE (DoD)</w:t>
      </w:r>
    </w:p>
    <w:p>
      <w:pPr>
        <w:pStyle w:val="APTSubtitle"/>
        <w:jc w:val="center"/>
      </w:pPr>
      <w:r>
        <w:t>Plataforma Inteligente de Gestión y Caracterización Comunitaria para Juntas de Vecinos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shd w:fill="D9EAF7"/>
          </w:tcPr>
          <w:p>
            <w:r>
              <w:rPr>
                <w:rFonts w:ascii="Aptos" w:hAnsi="Aptos"/>
                <w:b/>
                <w:color w:val="1F4E78"/>
                <w:sz w:val="17"/>
              </w:rPr>
              <w:t>Documento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>
              <w:rPr>
                <w:rFonts w:ascii="Aptos" w:hAnsi="Aptos"/>
                <w:sz w:val="17"/>
              </w:rPr>
              <w:t>Definition of Done (DoD)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shd w:fill="D9EAF7"/>
          </w:tcPr>
          <w:p>
            <w:r>
              <w:rPr>
                <w:rFonts w:ascii="Aptos" w:hAnsi="Aptos"/>
                <w:b/>
                <w:color w:val="1F4E78"/>
                <w:sz w:val="17"/>
              </w:rPr>
              <w:t>Versión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>
              <w:rPr>
                <w:rFonts w:ascii="Aptos" w:hAnsi="Aptos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shd w:fill="D9EAF7"/>
          </w:tcPr>
          <w:p>
            <w:r>
              <w:rPr>
                <w:rFonts w:ascii="Aptos" w:hAnsi="Aptos"/>
                <w:b/>
                <w:color w:val="1F4E78"/>
                <w:sz w:val="17"/>
              </w:rPr>
              <w:t>Metodología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>
              <w:rPr>
                <w:rFonts w:ascii="Aptos" w:hAnsi="Aptos"/>
                <w:sz w:val="17"/>
              </w:rPr>
              <w:t>Scrum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shd w:fill="D9EAF7"/>
          </w:tcPr>
          <w:p>
            <w:r>
              <w:rPr>
                <w:rFonts w:ascii="Aptos" w:hAnsi="Aptos"/>
                <w:b/>
                <w:color w:val="1F4E78"/>
                <w:sz w:val="17"/>
              </w:rPr>
              <w:t>Fase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>
              <w:rPr>
                <w:rFonts w:ascii="Aptos" w:hAnsi="Aptos"/>
                <w:sz w:val="17"/>
              </w:rPr>
              <w:t>Fase 1 - Definición y planificación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shd w:fill="D9EAF7"/>
          </w:tcPr>
          <w:p>
            <w:r>
              <w:rPr>
                <w:rFonts w:ascii="Aptos" w:hAnsi="Aptos"/>
                <w:b/>
                <w:color w:val="1F4E78"/>
                <w:sz w:val="17"/>
              </w:rPr>
              <w:t>Aplicación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>
              <w:rPr>
                <w:rFonts w:ascii="Aptos" w:hAnsi="Aptos"/>
                <w:sz w:val="17"/>
              </w:rPr>
              <w:t>Historias de Usuario y tareas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shd w:fill="D9EAF7"/>
          </w:tcPr>
          <w:p>
            <w:r>
              <w:rPr>
                <w:rFonts w:ascii="Aptos" w:hAnsi="Aptos"/>
                <w:b/>
                <w:color w:val="1F4E78"/>
                <w:sz w:val="17"/>
              </w:rPr>
              <w:t>Estado inicial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>
              <w:rPr>
                <w:rFonts w:ascii="Aptos" w:hAnsi="Aptos"/>
                <w:sz w:val="17"/>
              </w:rPr>
              <w:t>Vigente para los 5 Sprints</w:t>
            </w:r>
          </w:p>
        </w:tc>
      </w:tr>
    </w:tbl>
    <w:p>
      <w:pPr>
        <w:pStyle w:val="APTHeading1"/>
      </w:pPr>
      <w:r>
        <w:t>1. Objetivo</w:t>
      </w:r>
    </w:p>
    <w:p>
      <w:pPr>
        <w:spacing w:after="80"/>
      </w:pPr>
      <w:r>
        <w:t>Establecer un criterio único y verificable para determinar cuándo una Historia de Usuario o elemento del Product Backlog puede considerarse realmente terminado. La DoD se aplica de forma transversal a los cinco Sprints y busca asegurar calidad, integración, seguridad, trazabilidad y evidencia del trabajo realizado.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tcBorders>
              <w:top w:val="single" w:sz="6" w:color="A9D18E"/>
              <w:left w:val="single" w:sz="6" w:color="A9D18E"/>
              <w:bottom w:val="single" w:sz="6" w:color="A9D18E"/>
              <w:right w:val="single" w:sz="6" w:color="A9D18E"/>
              <w:insideH w:val="single" w:sz="6" w:color="A9D18E"/>
              <w:insideV w:val="single" w:sz="6" w:color="A9D18E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375623"/>
                <w:sz w:val="19"/>
              </w:rPr>
              <w:t>Una Historia de Usuario se considera HECHA solo cuando cumple todos los criterios de aceptación y todos los criterios de esta Definition of Done que le resulten aplicables.</w:t>
            </w:r>
          </w:p>
        </w:tc>
      </w:tr>
    </w:tbl>
    <w:p>
      <w:pPr>
        <w:pStyle w:val="APTHeading1"/>
      </w:pPr>
      <w:r>
        <w:t>2. Alcance de la DoD</w:t>
      </w:r>
    </w:p>
    <w:p>
      <w:pPr>
        <w:spacing w:after="30"/>
        <w:ind w:left="259"/>
      </w:pPr>
      <w:r>
        <w:rPr>
          <w:sz w:val="18"/>
        </w:rPr>
        <w:t>• Aplica a las 20 Historias de Usuario incluidas en el Product Backlog.</w:t>
      </w:r>
    </w:p>
    <w:p>
      <w:pPr>
        <w:spacing w:after="30"/>
        <w:ind w:left="259"/>
      </w:pPr>
      <w:r>
        <w:rPr>
          <w:sz w:val="18"/>
        </w:rPr>
        <w:t>• Aplica a tareas de backend, base de datos, frontend, integración, pruebas y documentación.</w:t>
      </w:r>
    </w:p>
    <w:p>
      <w:pPr>
        <w:spacing w:after="30"/>
        <w:ind w:left="259"/>
      </w:pPr>
      <w:r>
        <w:rPr>
          <w:sz w:val="18"/>
        </w:rPr>
        <w:t>• Los criterios no aplicables a una HU deben marcarse como “No aplica” y justificarse en la evidencia del Sprint.</w:t>
      </w:r>
    </w:p>
    <w:p>
      <w:pPr>
        <w:spacing w:after="30"/>
        <w:ind w:left="259"/>
      </w:pPr>
      <w:r>
        <w:rPr>
          <w:sz w:val="18"/>
        </w:rPr>
        <w:t>• La DoD puede ajustarse por acuerdo del equipo si surge una necesidad técnica, manteniendo el mismo estándar de calidad.</w:t>
      </w:r>
    </w:p>
    <w:p>
      <w:pPr>
        <w:pStyle w:val="APTHeading1"/>
      </w:pPr>
      <w:r>
        <w:t>3. Criterios obligatorios para considerar una HU “Hecha”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376"/>
        <w:gridCol w:w="7272"/>
      </w:tblGrid>
      <w:tr>
        <w:trPr>
          <w:tblHeader w:val="true"/>
          <w:cantSplit/>
        </w:trPr>
        <w:tc>
          <w:tcPr>
            <w:tcW w:type="dxa" w:w="3456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456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Criterio de Definition of Done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DoD-01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Requerimiento y aceptación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Los criterios de aceptación de la HU están cumplidos y son demostrables.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DoD-02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Funcionalidad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La funcionalidad implementada corresponde al alcance definido, sin dejar comportamiento crítico pendiente.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DoD-03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Backend / API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Los servicios, reglas de negocio y endpoints necesarios están implementados e integrados cuando corresponda.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DoD-04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Base de datos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Modelos, relaciones, restricciones y migraciones requeridas están actualizadas y funcionan correctamente.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DoD-05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Frontend / UX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La interfaz asociada está terminada, es legible, consistente y usable en las resoluciones objetivo del proyecto.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DoD-06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Integración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Frontend, backend y base de datos funcionan de forma integrada para el flujo completo de la HU.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DoD-07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Roles y permisos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El acceso a la funcionalidad respeta los roles Vecino, Directiva/Dirigente, Administrador y Usuario Municipal.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DoD-08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Validaciones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Entradas, campos obligatorios, estados y errores previsibles cuentan con validaciones y mensajes adecuados.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DoD-09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Privacidad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No se exponen datos personales fuera del ámbito autorizado y los reportes/indicadores se presentan de forma agregada.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DoD-10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Seguridad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No existen credenciales o secretos incrustados en el código y se aplican controles básicos de sesión, autorización y acceso.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DoD-11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IA, si aplica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La integración con Gemini no envía datos sensibles, entrega respuestas orientativas y deriva a gestión humana cuando corresponde.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DoD-12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Pruebas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Se ejecutaron las pruebas relevantes de la HU y sus resultados fueron satisfactorios.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DoD-13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Defectos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No quedan errores críticos o bloqueantes conocidos asociados a la funcionalidad.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DoD-14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Código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El código está ordenado, comprensible y no mantiene fragmentos temporales que afecten el funcionamiento.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DoD-15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Repositorio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Los cambios están versionados en GitHub con trazabilidad suficiente para identificar el trabajo realizado.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DoD-16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Documentación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Se actualizó README, configuración, documentación técnica o instrucciones cuando la HU introduce cambios que lo requieren.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DoD-17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Evidencia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Existe evidencia verificable del funcionamiento: captura, prueba, registro, commit u otro respaldo apropiado.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DoD-18</w:t>
            </w:r>
          </w:p>
        </w:tc>
        <w:tc>
          <w:tcPr>
            <w:tcW w:type="dxa" w:w="237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Revisión</w:t>
            </w:r>
          </w:p>
        </w:tc>
        <w:tc>
          <w:tcPr>
            <w:tcW w:type="dxa" w:w="727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La HU está integrada con la versión vigente del proyecto y está lista para ser mostrada en la Sprint Review.</w:t>
            </w:r>
          </w:p>
        </w:tc>
      </w:tr>
    </w:tbl>
    <w:p>
      <w:pPr>
        <w:pStyle w:val="APTHeading1"/>
      </w:pPr>
      <w:r>
        <w:t>4. Reglas de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12"/>
      </w:tblGrid>
      <w:tr>
        <w:trPr>
          <w:tblHeader w:val="true"/>
          <w:cantSplit/>
        </w:trPr>
        <w:tc>
          <w:tcPr>
            <w:tcW w:type="dxa" w:w="5184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5184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r>
              <w:rPr>
                <w:b/>
                <w:color w:val="FFFFFF"/>
                <w:sz w:val="17"/>
              </w:rPr>
              <w:t>Aplicación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7"/>
              </w:rPr>
              <w:t>Cumplimiento</w:t>
            </w:r>
          </w:p>
        </w:tc>
        <w:tc>
          <w:tcPr>
            <w:tcW w:type="dxa" w:w="871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Cada criterio se evalúa como Cumple, No cumple o No aplica. Una HU no puede pasar a “Hecho” si existe un criterio aplicable marcado como No cumple.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4F7FA"/>
          </w:tcPr>
          <w:p>
            <w:r>
              <w:rPr>
                <w:b/>
                <w:sz w:val="17"/>
              </w:rPr>
              <w:t>No aplica</w:t>
            </w:r>
          </w:p>
        </w:tc>
        <w:tc>
          <w:tcPr>
            <w:tcW w:type="dxa" w:w="871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4F7FA"/>
          </w:tcPr>
          <w:p>
            <w:r>
              <w:rPr>
                <w:sz w:val="17"/>
              </w:rPr>
              <w:t>Debe usarse solo cuando el criterio no corresponde técnicamente a la HU; por ejemplo, una HU sin cambios de base de datos puede marcar DoD-04 como No aplica.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7"/>
              </w:rPr>
              <w:t>Cambios posteriores</w:t>
            </w:r>
          </w:p>
        </w:tc>
        <w:tc>
          <w:tcPr>
            <w:tcW w:type="dxa" w:w="871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Si una modificación rompe una funcionalidad previamente terminada, la HU afectada deja de cumplir la DoD hasta que se corrija y vuelva a verificarse.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4F7FA"/>
          </w:tcPr>
          <w:p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871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4F7FA"/>
          </w:tcPr>
          <w:p>
            <w:r>
              <w:rPr>
                <w:sz w:val="17"/>
              </w:rPr>
              <w:t>La evidencia debe quedar vinculada al trabajo del Sprint mediante repositorio, pruebas, capturas o documentación del avance.</w:t>
            </w:r>
          </w:p>
        </w:tc>
      </w:tr>
    </w:tbl>
    <w:p>
      <w:pPr>
        <w:pStyle w:val="APTHeading1"/>
      </w:pPr>
      <w:r>
        <w:t>5. Responsabilidad del equipo</w:t>
      </w:r>
    </w:p>
    <w:p>
      <w:pPr>
        <w:spacing w:after="80"/>
      </w:pPr>
      <w:r>
        <w:t>La Definition of Done es responsabilidad del equipo completo. Los roles orientan la verificación, pero no sustituyen la responsabilidad compartida sobre la calidad del incremento.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384"/>
        <w:gridCol w:w="5400"/>
      </w:tblGrid>
      <w:tr>
        <w:trPr>
          <w:cantSplit/>
        </w:trPr>
        <w:tc>
          <w:tcPr>
            <w:tcW w:type="dxa" w:w="3456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3456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r>
              <w:rPr>
                <w:b/>
                <w:color w:val="FFFFFF"/>
                <w:sz w:val="17"/>
              </w:rPr>
              <w:t>Rol principal</w:t>
            </w:r>
          </w:p>
        </w:tc>
        <w:tc>
          <w:tcPr>
            <w:tcW w:type="dxa" w:w="3456"/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r>
              <w:rPr>
                <w:b/>
                <w:color w:val="FFFFFF"/>
                <w:sz w:val="17"/>
              </w:rPr>
              <w:t>Enfoque de verificación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Ivan Tamayo</w:t>
            </w:r>
          </w:p>
        </w:tc>
        <w:tc>
          <w:tcPr>
            <w:tcW w:type="dxa" w:w="338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Jefe de Proyecto / Scrum Master + Backend y Base de Datos</w:t>
            </w:r>
          </w:p>
        </w:tc>
        <w:tc>
          <w:tcPr>
            <w:tcW w:type="dxa" w:w="540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Coordina la aplicación de la DoD y verifica principalmente backend, datos, reglas de negocio, seguridad e integración.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  <w:shd w:fill="F4F7FA"/>
          </w:tcPr>
          <w:p>
            <w:r>
              <w:rPr>
                <w:sz w:val="16"/>
              </w:rPr>
              <w:t>Rodrigo Romero</w:t>
            </w:r>
          </w:p>
        </w:tc>
        <w:tc>
          <w:tcPr>
            <w:tcW w:type="dxa" w:w="338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  <w:shd w:fill="F4F7FA"/>
          </w:tcPr>
          <w:p>
            <w:r>
              <w:rPr>
                <w:sz w:val="16"/>
              </w:rPr>
              <w:t>Frontend / UX-UI</w:t>
            </w:r>
          </w:p>
        </w:tc>
        <w:tc>
          <w:tcPr>
            <w:tcW w:type="dxa" w:w="540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  <w:shd w:fill="F4F7FA"/>
          </w:tcPr>
          <w:p>
            <w:r>
              <w:rPr>
                <w:sz w:val="16"/>
              </w:rPr>
              <w:t>Verifica principalmente interfaz, navegación, experiencia de usuario, responsividad, accesibilidad y correcta integración visual.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Richard Diaz</w:t>
            </w:r>
          </w:p>
        </w:tc>
        <w:tc>
          <w:tcPr>
            <w:tcW w:type="dxa" w:w="338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Backend / QA y Pruebas</w:t>
            </w:r>
          </w:p>
        </w:tc>
        <w:tc>
          <w:tcPr>
            <w:tcW w:type="dxa" w:w="540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Verifica principalmente pruebas, defectos, validaciones, regresión, evidencias y apoyo a la revisión de backend.</w:t>
            </w:r>
          </w:p>
        </w:tc>
      </w:tr>
    </w:tbl>
    <w:p>
      <w:pPr>
        <w:pStyle w:val="APTHeading1"/>
      </w:pPr>
      <w:r>
        <w:t>6. Cierre de una Historia de Usuario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CE4D6"/>
            <w:tcBorders>
              <w:top w:val="single" w:sz="6" w:color="F4B183"/>
              <w:left w:val="single" w:sz="6" w:color="F4B183"/>
              <w:bottom w:val="single" w:sz="6" w:color="F4B183"/>
              <w:right w:val="single" w:sz="6" w:color="F4B183"/>
              <w:insideH w:val="single" w:sz="6" w:color="F4B183"/>
              <w:insideV w:val="single" w:sz="6" w:color="F4B18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843C0C"/>
                <w:sz w:val="18"/>
              </w:rPr>
              <w:t>Antes de cambiar una HU a “Hecho” en el Product Backlog o Sprint Backlog, el equipo debe comprobar la DoD y dejar evidencia suficiente. Si alguna condición aplicable no se cumple, la HU permanece “En proceso” y el trabajo pendiente vuelve al backlog del Sprint.</w:t>
            </w:r>
          </w:p>
        </w:tc>
      </w:tr>
    </w:tbl>
    <w:p>
      <w:pPr>
        <w:pStyle w:val="APTHeading1"/>
      </w:pPr>
      <w:r>
        <w:t>7. Relación con Scrum</w:t>
      </w:r>
    </w:p>
    <w:p>
      <w:pPr>
        <w:spacing w:after="60"/>
      </w:pPr>
      <w:r>
        <w:t>Esta DoD complementa los criterios de aceptación de cada Historia de Usuario. Los criterios de aceptación indican qué debe hacer una funcionalidad específica; la Definition of Done establece el estándar común de calidad que debe cumplir cualquier incremento antes de considerarse terminado.</w:t>
      </w:r>
    </w:p>
    <w:p>
      <w:pPr>
        <w:spacing w:before="120"/>
        <w:jc w:val="center"/>
      </w:pPr>
      <w:r>
        <w:rPr>
          <w:i/>
          <w:color w:val="6B7280"/>
          <w:sz w:val="17"/>
        </w:rPr>
        <w:t>Documento aprobado como línea base de calidad para la planificación inicial del Proyecto APT.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Definition of Done (DoD) | Proyecto APT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8"/>
        <w:sz w:val="16"/>
      </w:rPr>
      <w:t>PROYECTO APT | SCRUM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TTitle">
    <w:name w:val="APT Title"/>
    <w:pPr>
      <w:spacing w:before="0" w:after="60"/>
    </w:pPr>
    <w:rPr>
      <w:rFonts w:ascii="Aptos" w:hAnsi="Aptos"/>
      <w:b/>
      <w:color w:val="1F4E78"/>
      <w:sz w:val="36"/>
    </w:rPr>
  </w:style>
  <w:style w:type="paragraph" w:customStyle="1" w:styleId="APTSubtitle">
    <w:name w:val="APT Subtitle"/>
    <w:pPr>
      <w:spacing w:before="0" w:after="160"/>
    </w:pPr>
    <w:rPr>
      <w:rFonts w:ascii="Aptos" w:hAnsi="Aptos"/>
      <w:b w:val="0"/>
      <w:color w:val="404040"/>
      <w:sz w:val="21"/>
    </w:rPr>
  </w:style>
  <w:style w:type="paragraph" w:customStyle="1" w:styleId="APTHeading1">
    <w:name w:val="APT Heading 1"/>
    <w:pPr>
      <w:spacing w:before="140" w:after="80"/>
    </w:pPr>
    <w:rPr>
      <w:rFonts w:ascii="Aptos" w:hAnsi="Aptos"/>
      <w:b/>
      <w:color w:val="1F4E78"/>
      <w:sz w:val="24"/>
    </w:rPr>
  </w:style>
  <w:style w:type="paragraph" w:customStyle="1" w:styleId="APTHeading2">
    <w:name w:val="APT Heading 2"/>
    <w:pPr>
      <w:spacing w:before="100" w:after="40"/>
    </w:pPr>
    <w:rPr>
      <w:rFonts w:ascii="Aptos" w:hAnsi="Aptos"/>
      <w:b/>
      <w:color w:val="1F4E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