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  <w:rtl w:val="0"/>
        </w:rPr>
        <w:t xml:space="preserve">DEFINITION OF DONE (DoD)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Plataforma Inteligente de Gestión y Caracterización Comunitaria para Juntas de Vecinos</w:t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Definition of Done (DoD)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Fase 1 - Definición y planificación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Historias de Usuario y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d9eaf7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17"/>
                <w:szCs w:val="17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Vigente para los 5 Sprints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10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Establecer un criterio único y verificable para determinar cuándo una Historia de Usuario o elemento del Product Backlog puede considerarse realmente terminado. La DoD se aplica de forma transversal a los cinco Sprints y busca asegurar calidad, integración, seguridad, trazabilidad y evidencia del trabajo realizado.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9d18e" w:space="0" w:sz="6" w:val="single"/>
              <w:left w:color="a9d18e" w:space="0" w:sz="6" w:val="single"/>
              <w:bottom w:color="a9d18e" w:space="0" w:sz="6" w:val="single"/>
              <w:right w:color="a9d18e" w:space="0" w:sz="6" w:val="single"/>
            </w:tcBorders>
            <w:shd w:fill="e2f0d9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Una Historia de Usuario se considera HECHA solo cuando cumple todos los criterios de aceptación y todos los criterios de esta Definition of Done que le resulten aplicables.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2. Alcance de la DoD</w:t>
      </w:r>
    </w:p>
    <w:p w:rsidR="00000000" w:rsidDel="00000000" w:rsidP="00000000" w:rsidRDefault="00000000" w:rsidRPr="00000000" w14:paraId="00000013">
      <w:pPr>
        <w:spacing w:after="30" w:lineRule="auto"/>
        <w:ind w:left="259" w:firstLine="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• Aplica a las 20 Historias de Usuario incluidas en 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Rule="auto"/>
        <w:ind w:left="259" w:firstLine="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• Aplica a tareas de backend, base de datos, frontend, integración, pruebas y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Rule="auto"/>
        <w:ind w:left="259" w:firstLine="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• Los criterios no aplicables a una HU deben marcarse como “No aplica” y justificarse en la evidencia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lineRule="auto"/>
        <w:ind w:left="259" w:firstLine="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• La DoD puede ajustarse por acuerdo del equipo si surge una necesidad técnica, manteniendo el mismo estándar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3. Criterios obligatorios para considerar una HU “Hecha”</w:t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1152"/>
        <w:gridCol w:w="2376"/>
        <w:gridCol w:w="7272"/>
        <w:tblGridChange w:id="0">
          <w:tblGrid>
            <w:gridCol w:w="1152"/>
            <w:gridCol w:w="2376"/>
            <w:gridCol w:w="72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 de Usuario y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Los criterios de aceptación de la HU están cumplidos y son demostrables.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La funcionalidad implementada corresponde al alcance definido, sin dejar comportamiento crítico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Los servicios, reglas de negocio y endpoints necesarios están implementados e integrados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Modelos, relaciones, restricciones y migraciones requeridas están actualizadas y funcionan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Frontend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La interfaz asociada está terminada, es legible, consistente y usable en las resoluciones objetivo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Frontend, backend y base de datos funcionan de forma integrada para el flujo completo de la HU.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El acceso a la funcionalidad respeta los roles Vecino, Directiva/Dirigente, Administrador y Usuario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Entradas, campos obligatorios, estados y errores previsibles cuentan con validaciones y mensajes adecuados.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se exponen datos personales fuera del ámbito autorizado y los reportes/indicadores se presentan de forma agregada.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existen credenciales o secretos incrustados en el código y se aplican controles básicos de sesión, autorización y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IA,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La integración con Gemini no envía datos sensibles, entrega respuestas orientativas y deriva a gestión humana cuando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 ejecutaron las pruebas relevantes de la HU y sus resultados fueron satisfactorios.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quedan errores críticos o bloqueantes conocidos asociados a la funcionalidad.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El código está ordenado, comprensible y no mantiene fragmentos temporales que afecten el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Los cambios están versionados en GitHub con trazabilidad suficiente para identificar el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 actualizó README, configuración, documentación técnica o instrucciones cuando la HU introduce cambios que lo requieren.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Existe evidencia verificable del funcionamiento: captura, prueba, registro, commit u otro respaldo apropiado.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La HU está integrada con la versión vigente del proyecto y está lista para ser mostrada en la Sprint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4. Reglas de aplicación</w:t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2088"/>
        <w:gridCol w:w="8712"/>
        <w:tblGridChange w:id="0">
          <w:tblGrid>
            <w:gridCol w:w="2088"/>
            <w:gridCol w:w="87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criterio se evalúa como Cumple, No cumple o No aplica. Una HU no puede pasar a “Hecho” si existe un criterio aplicable marcado como No cumple.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Debe usarse solo cuando el criterio no corresponde técnicamente a la HU; por ejemplo, una HU sin cambios de base de datos puede marcar DoD-04 como 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Cambios posteriores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una modificación rompe una funcionalidad previamente terminada, la HU afectada deja de cumplir la DoD hasta que se corrija y vuelva a verificarse.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evidencia debe quedar vinculada al trabajo del Sprint mediante repositorio, pruebas, capturas o documentación del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5. Responsabilidad del equipo</w:t>
      </w:r>
    </w:p>
    <w:p w:rsidR="00000000" w:rsidDel="00000000" w:rsidP="00000000" w:rsidRDefault="00000000" w:rsidRPr="00000000" w14:paraId="0000005D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La Definition of Done es responsabilidad del equipo completo. Los roles orientan la verificación, pero no sustituyen la responsabilidad compartida sobre la calidad del incremento.</w:t>
      </w:r>
    </w:p>
    <w:tbl>
      <w:tblPr>
        <w:tblStyle w:val="Table5"/>
        <w:tblW w:w="10800.0" w:type="dxa"/>
        <w:jc w:val="center"/>
        <w:tblLayout w:type="fixed"/>
        <w:tblLook w:val="0400"/>
      </w:tblPr>
      <w:tblGrid>
        <w:gridCol w:w="2016"/>
        <w:gridCol w:w="3384"/>
        <w:gridCol w:w="5400"/>
        <w:tblGridChange w:id="0">
          <w:tblGrid>
            <w:gridCol w:w="2016"/>
            <w:gridCol w:w="3384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Enfoque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Iván Tamayo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Jefe de Proyecto / Scrum Master + Backend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Coordina la aplicación de la DoD y verifica principalmente backend, datos, reglas de negocio, seguridad 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Rodrigo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Frontend / UX-UI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4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 principalmente interfaz, navegación, experiencia de usuario, responsividad, accesibilidad y correcta integración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Richard Díaz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/ QA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 principalmente pruebas, defectos, validaciones, regresión, evidencias y apoyo a la revisión de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6. Cierre de una Historia de Usuario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4b183" w:space="0" w:sz="6" w:val="single"/>
              <w:left w:color="f4b183" w:space="0" w:sz="6" w:val="single"/>
              <w:bottom w:color="f4b183" w:space="0" w:sz="6" w:val="single"/>
              <w:right w:color="f4b183" w:space="0" w:sz="6" w:val="single"/>
            </w:tcBorders>
            <w:shd w:fill="fce4d6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843c0c"/>
                <w:sz w:val="18"/>
                <w:szCs w:val="18"/>
                <w:rtl w:val="0"/>
              </w:rPr>
              <w:t xml:space="preserve">Antes de cambiar una HU a “Hecho” en el Product Backlog o Sprint Backlog, el equipo debe comprobar la DoD y dejar evidencia suficiente. Si alguna condición aplicable no se cumple, la HU permanece “En proceso” y el trabajo pendiente vuelve al backlog del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7. Relación con Scrum</w:t>
      </w:r>
    </w:p>
    <w:p w:rsidR="00000000" w:rsidDel="00000000" w:rsidP="00000000" w:rsidRDefault="00000000" w:rsidRPr="00000000" w14:paraId="0000006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Esta DoD complementa los criterios de aceptación de cada Historia de Usuario. Los criterios de aceptación indican qué debe hacer una funcionalidad específica; la Definition of Done establece el estándar común de calidad que debe cumplir cualquier incremento antes de considerarse terminado.</w:t>
      </w:r>
    </w:p>
    <w:p w:rsidR="00000000" w:rsidDel="00000000" w:rsidP="00000000" w:rsidRDefault="00000000" w:rsidRPr="00000000" w14:paraId="0000006E">
      <w:pPr>
        <w:spacing w:before="120" w:lineRule="auto"/>
        <w:jc w:val="both"/>
        <w:rPr/>
      </w:pPr>
      <w:r w:rsidDel="00000000" w:rsidR="00000000" w:rsidRPr="00000000">
        <w:rPr>
          <w:i w:val="1"/>
          <w:iCs w:val="1"/>
          <w:color w:val="6b7280"/>
          <w:sz w:val="17"/>
          <w:szCs w:val="17"/>
          <w:rtl w:val="0"/>
        </w:rPr>
        <w:t xml:space="preserve">Documento aprobado como línea base de calidad para la planificación inicial del Proyecto APT.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Definition of Done (DoD) | Proyecto APT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6"/>
        <w:szCs w:val="16"/>
        <w:u w:val="none"/>
        <w:shd w:fill="auto" w:val="clear"/>
        <w:vertAlign w:val="baseline"/>
        <w:rtl w:val="0"/>
      </w:rPr>
      <w:t xml:space="preserve">PROYECTO APT | SCRUM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PTTitle" w:customStyle="1">
    <w:name w:val="APT Title"/>
    <w:pPr>
      <w:spacing w:after="60" w:before="0"/>
    </w:pPr>
    <w:rPr>
      <w:rFonts w:ascii="Aptos" w:hAnsi="Aptos"/>
      <w:b w:val="1"/>
      <w:color w:val="1f4e78"/>
      <w:sz w:val="36"/>
    </w:rPr>
  </w:style>
  <w:style w:type="paragraph" w:styleId="APTSubtitle" w:customStyle="1">
    <w:name w:val="APT Subtitle"/>
    <w:pPr>
      <w:spacing w:after="160" w:before="0"/>
    </w:pPr>
    <w:rPr>
      <w:rFonts w:ascii="Aptos" w:hAnsi="Aptos"/>
      <w:b w:val="0"/>
      <w:color w:val="404040"/>
      <w:sz w:val="21"/>
    </w:rPr>
  </w:style>
  <w:style w:type="paragraph" w:styleId="APTHeading1" w:customStyle="1">
    <w:name w:val="APT Heading 1"/>
    <w:pPr>
      <w:spacing w:after="80" w:before="140"/>
    </w:pPr>
    <w:rPr>
      <w:rFonts w:ascii="Aptos" w:hAnsi="Aptos"/>
      <w:b w:val="1"/>
      <w:color w:val="1f4e78"/>
      <w:sz w:val="24"/>
    </w:rPr>
  </w:style>
  <w:style w:type="paragraph" w:styleId="APTHeading2" w:customStyle="1">
    <w:name w:val="APT Heading 2"/>
    <w:pPr>
      <w:spacing w:after="40" w:before="100"/>
    </w:pPr>
    <w:rPr>
      <w:rFonts w:ascii="Aptos" w:hAnsi="Aptos"/>
      <w:b w:val="1"/>
      <w:color w:val="1f4e78"/>
      <w:sz w:val="2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wHxZycI706TelFsMdC1hVjOlg==">CgMxLjA4AHIhMV9RZ210d2RjTVZWU1pBNk54dExrTWRSZU0tQ0FkY3Ey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