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r>
        <w:br w:type="page"/>
      </w:r>
    </w:p>
    <w:p>
      <w:r>
        <w:rPr>
          <w:b/>
        </w:rPr>
        <w:t>Autoevaluación personal de avance — propuesta para revisión</w:t>
      </w:r>
    </w:p>
    <w:p>
      <w:r>
        <w:t>Esta sección complementa la rúbrica original sin modificar sus criterios. Las valoraciones son orientativas y deben revisarse con las evidencias de participación individual y de las pruebas ejecutadas antes de entregar.</w:t>
      </w:r>
    </w:p>
    <w:tbl>
      <w:tblPr>
        <w:tblStyle w:val="Tablaconcuadrcula"/>
        <w:tblW w:type="auto" w:w="0"/>
        <w:tblLook w:firstColumn="1" w:firstRow="1" w:lastColumn="0" w:lastRow="0" w:noHBand="0" w:noVBand="1" w:val="04A0"/>
      </w:tblPr>
      <w:tblGrid>
        <w:gridCol w:w="4335"/>
        <w:gridCol w:w="4335"/>
        <w:gridCol w:w="4335"/>
      </w:tblGrid>
      <w:tr>
        <w:tc>
          <w:tcPr>
            <w:tcW w:type="dxa" w:w="4335"/>
          </w:tcPr>
          <w:p>
            <w:pPr>
              <w:spacing w:after="40"/>
            </w:pPr>
            <w:r>
              <w:rPr>
                <w:rFonts w:ascii="Arial" w:hAnsi="Arial"/>
                <w:sz w:val="16"/>
              </w:rPr>
              <w:t>Indicador</w:t>
            </w:r>
          </w:p>
        </w:tc>
        <w:tc>
          <w:tcPr>
            <w:tcW w:type="dxa" w:w="4335"/>
          </w:tcPr>
          <w:p>
            <w:pPr>
              <w:spacing w:after="40"/>
            </w:pPr>
            <w:r>
              <w:rPr>
                <w:rFonts w:ascii="Arial" w:hAnsi="Arial"/>
                <w:sz w:val="16"/>
              </w:rPr>
              <w:t>Situación preliminar</w:t>
            </w:r>
          </w:p>
        </w:tc>
        <w:tc>
          <w:tcPr>
            <w:tcW w:type="dxa" w:w="4335"/>
          </w:tcPr>
          <w:p>
            <w:pPr>
              <w:spacing w:after="40"/>
            </w:pPr>
            <w:r>
              <w:rPr>
                <w:rFonts w:ascii="Arial" w:hAnsi="Arial"/>
                <w:sz w:val="16"/>
              </w:rPr>
              <w:t>Fundamento y próximo paso</w:t>
            </w:r>
          </w:p>
        </w:tc>
      </w:tr>
      <w:tr>
        <w:tc>
          <w:tcPr>
            <w:tcW w:type="dxa" w:w="4335"/>
          </w:tcPr>
          <w:p>
            <w:pPr>
              <w:spacing w:after="40"/>
            </w:pPr>
            <w:r>
              <w:rPr>
                <w:rFonts w:ascii="Arial" w:hAnsi="Arial"/>
                <w:sz w:val="16"/>
              </w:rPr>
              <w:t>1. Ajustes al proyecto</w:t>
            </w:r>
          </w:p>
        </w:tc>
        <w:tc>
          <w:tcPr>
            <w:tcW w:type="dxa" w:w="4335"/>
          </w:tcPr>
          <w:p>
            <w:pPr>
              <w:spacing w:after="40"/>
            </w:pPr>
            <w:r>
              <w:rPr>
                <w:rFonts w:ascii="Arial" w:hAnsi="Arial"/>
                <w:sz w:val="16"/>
              </w:rPr>
              <w:t>En revisión</w:t>
            </w:r>
          </w:p>
        </w:tc>
        <w:tc>
          <w:tcPr>
            <w:tcW w:type="dxa" w:w="4335"/>
          </w:tcPr>
          <w:p>
            <w:pPr>
              <w:spacing w:after="40"/>
            </w:pPr>
            <w:r>
              <w:rPr>
                <w:rFonts w:ascii="Arial" w:hAnsi="Arial"/>
                <w:sz w:val="16"/>
              </w:rPr>
              <w:t>Se han identificado ajustes de documentación y presupuesto, además de priorizar integración, seguridad y validación. Falta confirmar que los cambios queden formalizados en el seguimiento del proyecto.</w:t>
            </w:r>
          </w:p>
        </w:tc>
      </w:tr>
      <w:tr>
        <w:tc>
          <w:tcPr>
            <w:tcW w:type="dxa" w:w="4335"/>
          </w:tcPr>
          <w:p>
            <w:pPr>
              <w:spacing w:after="40"/>
            </w:pPr>
            <w:r>
              <w:rPr>
                <w:rFonts w:ascii="Arial" w:hAnsi="Arial"/>
                <w:sz w:val="16"/>
              </w:rPr>
              <w:t>2. Metodología de trabajo</w:t>
            </w:r>
          </w:p>
        </w:tc>
        <w:tc>
          <w:tcPr>
            <w:tcW w:type="dxa" w:w="4335"/>
          </w:tcPr>
          <w:p>
            <w:pPr>
              <w:spacing w:after="40"/>
            </w:pPr>
            <w:r>
              <w:rPr>
                <w:rFonts w:ascii="Arial" w:hAnsi="Arial"/>
                <w:sz w:val="16"/>
              </w:rPr>
              <w:t>En revisión</w:t>
            </w:r>
          </w:p>
        </w:tc>
        <w:tc>
          <w:tcPr>
            <w:tcW w:type="dxa" w:w="4335"/>
          </w:tcPr>
          <w:p>
            <w:pPr>
              <w:spacing w:after="40"/>
            </w:pPr>
            <w:r>
              <w:rPr>
                <w:rFonts w:ascii="Arial" w:hAnsi="Arial"/>
                <w:sz w:val="16"/>
              </w:rPr>
              <w:t>El proyecto sigue un desarrollo incremental por módulos y utiliza GitHub. Es necesario contrastar los resultados obtenidos con la planificación y sus criterios de aceptación.</w:t>
            </w:r>
          </w:p>
        </w:tc>
      </w:tr>
      <w:tr>
        <w:tc>
          <w:tcPr>
            <w:tcW w:type="dxa" w:w="4335"/>
          </w:tcPr>
          <w:p>
            <w:pPr>
              <w:spacing w:after="40"/>
            </w:pPr>
            <w:r>
              <w:rPr>
                <w:rFonts w:ascii="Arial" w:hAnsi="Arial"/>
                <w:sz w:val="16"/>
              </w:rPr>
              <w:t>3. Evidencias de avance</w:t>
            </w:r>
          </w:p>
        </w:tc>
        <w:tc>
          <w:tcPr>
            <w:tcW w:type="dxa" w:w="4335"/>
          </w:tcPr>
          <w:p>
            <w:pPr>
              <w:spacing w:after="40"/>
            </w:pPr>
            <w:r>
              <w:rPr>
                <w:rFonts w:ascii="Arial" w:hAnsi="Arial"/>
                <w:sz w:val="16"/>
              </w:rPr>
              <w:t>En revisión</w:t>
            </w:r>
          </w:p>
        </w:tc>
        <w:tc>
          <w:tcPr>
            <w:tcW w:type="dxa" w:w="4335"/>
          </w:tcPr>
          <w:p>
            <w:pPr>
              <w:spacing w:after="40"/>
            </w:pPr>
            <w:r>
              <w:rPr>
                <w:rFonts w:ascii="Arial" w:hAnsi="Arial"/>
                <w:sz w:val="16"/>
              </w:rPr>
              <w:t>Hay código frontend/backend, documentos DAS y procesos, y desarrollo de OCR. No corresponde certificar el porcentaje de avance ni afirmar que todas las pruebas funcionan sin resultados registrados.</w:t>
            </w:r>
          </w:p>
        </w:tc>
      </w:tr>
      <w:tr>
        <w:tc>
          <w:tcPr>
            <w:tcW w:type="dxa" w:w="4335"/>
          </w:tcPr>
          <w:p>
            <w:pPr>
              <w:spacing w:after="40"/>
            </w:pPr>
            <w:r>
              <w:rPr>
                <w:rFonts w:ascii="Arial" w:hAnsi="Arial"/>
                <w:sz w:val="16"/>
              </w:rPr>
              <w:t>4. Lenguaje técnico</w:t>
            </w:r>
          </w:p>
        </w:tc>
        <w:tc>
          <w:tcPr>
            <w:tcW w:type="dxa" w:w="4335"/>
          </w:tcPr>
          <w:p>
            <w:pPr>
              <w:spacing w:after="40"/>
            </w:pPr>
            <w:r>
              <w:rPr>
                <w:rFonts w:ascii="Arial" w:hAnsi="Arial"/>
                <w:sz w:val="16"/>
              </w:rPr>
              <w:t>Por autoevaluar</w:t>
            </w:r>
          </w:p>
        </w:tc>
        <w:tc>
          <w:tcPr>
            <w:tcW w:type="dxa" w:w="4335"/>
          </w:tcPr>
          <w:p>
            <w:pPr>
              <w:spacing w:after="40"/>
            </w:pPr>
            <w:r>
              <w:rPr>
                <w:rFonts w:ascii="Arial" w:hAnsi="Arial"/>
                <w:sz w:val="16"/>
              </w:rPr>
              <w:t>Los documentos usan terminología como API REST, React, Django, MySQL y OCR. Se debe comprobar que las descripciones coincidan con la implementación y que Gemini se indique como integración pendiente.</w:t>
            </w:r>
          </w:p>
        </w:tc>
      </w:tr>
      <w:tr>
        <w:tc>
          <w:tcPr>
            <w:tcW w:type="dxa" w:w="4335"/>
          </w:tcPr>
          <w:p>
            <w:pPr>
              <w:spacing w:after="40"/>
            </w:pPr>
            <w:r>
              <w:rPr>
                <w:rFonts w:ascii="Arial" w:hAnsi="Arial"/>
                <w:sz w:val="16"/>
              </w:rPr>
              <w:t>5. Redacción, ortografía y referencias</w:t>
            </w:r>
          </w:p>
        </w:tc>
        <w:tc>
          <w:tcPr>
            <w:tcW w:type="dxa" w:w="4335"/>
          </w:tcPr>
          <w:p>
            <w:pPr>
              <w:spacing w:after="40"/>
            </w:pPr>
            <w:r>
              <w:rPr>
                <w:rFonts w:ascii="Arial" w:hAnsi="Arial"/>
                <w:sz w:val="16"/>
              </w:rPr>
              <w:t>Por autoevaluar</w:t>
            </w:r>
          </w:p>
        </w:tc>
        <w:tc>
          <w:tcPr>
            <w:tcW w:type="dxa" w:w="4335"/>
          </w:tcPr>
          <w:p>
            <w:pPr>
              <w:spacing w:after="40"/>
            </w:pPr>
            <w:r>
              <w:rPr>
                <w:rFonts w:ascii="Arial" w:hAnsi="Arial"/>
                <w:sz w:val="16"/>
              </w:rPr>
              <w:t>Se revisaron coherencia y claridad de varios documentos; aún corresponde verificar ortografía, citas, referencias y formato final de toda la entrega.</w:t>
            </w:r>
          </w:p>
        </w:tc>
      </w:tr>
      <w:tr>
        <w:tc>
          <w:tcPr>
            <w:tcW w:type="dxa" w:w="4335"/>
          </w:tcPr>
          <w:p>
            <w:pPr>
              <w:spacing w:after="40"/>
            </w:pPr>
            <w:r>
              <w:rPr>
                <w:rFonts w:ascii="Arial" w:hAnsi="Arial"/>
                <w:sz w:val="16"/>
              </w:rPr>
              <w:t>6. Formato del informe</w:t>
            </w:r>
          </w:p>
        </w:tc>
        <w:tc>
          <w:tcPr>
            <w:tcW w:type="dxa" w:w="4335"/>
          </w:tcPr>
          <w:p>
            <w:pPr>
              <w:spacing w:after="40"/>
            </w:pPr>
            <w:r>
              <w:rPr>
                <w:rFonts w:ascii="Arial" w:hAnsi="Arial"/>
                <w:sz w:val="16"/>
              </w:rPr>
              <w:t>Por autoevaluar</w:t>
            </w:r>
          </w:p>
        </w:tc>
        <w:tc>
          <w:tcPr>
            <w:tcW w:type="dxa" w:w="4335"/>
          </w:tcPr>
          <w:p>
            <w:pPr>
              <w:spacing w:after="40"/>
            </w:pPr>
            <w:r>
              <w:rPr>
                <w:rFonts w:ascii="Arial" w:hAnsi="Arial"/>
                <w:sz w:val="16"/>
              </w:rPr>
              <w:t>Se han usado los formatos de DUOC UC y tablas del proyecto. Falta contrastar la entrega final con todas las indicaciones de la pauta de Fase 2.</w:t>
            </w:r>
          </w:p>
        </w:tc>
      </w:tr>
      <w:tr>
        <w:tc>
          <w:tcPr>
            <w:tcW w:type="dxa" w:w="4335"/>
          </w:tcPr>
          <w:p>
            <w:pPr>
              <w:spacing w:after="40"/>
            </w:pPr>
            <w:r>
              <w:rPr>
                <w:rFonts w:ascii="Arial" w:hAnsi="Arial"/>
                <w:sz w:val="16"/>
              </w:rPr>
              <w:t>7. Indicadores de calidad</w:t>
            </w:r>
          </w:p>
        </w:tc>
        <w:tc>
          <w:tcPr>
            <w:tcW w:type="dxa" w:w="4335"/>
          </w:tcPr>
          <w:p>
            <w:pPr>
              <w:spacing w:after="40"/>
            </w:pPr>
            <w:r>
              <w:rPr>
                <w:rFonts w:ascii="Arial" w:hAnsi="Arial"/>
                <w:sz w:val="16"/>
              </w:rPr>
              <w:t>Pendiente de evidencias</w:t>
            </w:r>
          </w:p>
        </w:tc>
        <w:tc>
          <w:tcPr>
            <w:tcW w:type="dxa" w:w="4335"/>
          </w:tcPr>
          <w:p>
            <w:pPr>
              <w:spacing w:after="40"/>
            </w:pPr>
            <w:r>
              <w:rPr>
                <w:rFonts w:ascii="Arial" w:hAnsi="Arial"/>
                <w:sz w:val="16"/>
              </w:rPr>
              <w:t>Deben comprobarse integración, control de roles, privacidad, funcionalidad de módulos y pruebas pertinentes. No se declara cumplimiento total sin actas o reportes.</w:t>
            </w:r>
          </w:p>
        </w:tc>
      </w:tr>
      <w:tr>
        <w:tc>
          <w:tcPr>
            <w:tcW w:type="dxa" w:w="4335"/>
          </w:tcPr>
          <w:p>
            <w:pPr>
              <w:spacing w:after="40"/>
            </w:pPr>
            <w:r>
              <w:rPr>
                <w:rFonts w:ascii="Arial" w:hAnsi="Arial"/>
                <w:sz w:val="16"/>
              </w:rPr>
              <w:t>8. Comunicación escrita en inglés</w:t>
            </w:r>
          </w:p>
        </w:tc>
        <w:tc>
          <w:tcPr>
            <w:tcW w:type="dxa" w:w="4335"/>
          </w:tcPr>
          <w:p>
            <w:pPr>
              <w:spacing w:after="40"/>
            </w:pPr>
            <w:r>
              <w:rPr>
                <w:rFonts w:ascii="Arial" w:hAnsi="Arial"/>
                <w:sz w:val="16"/>
              </w:rPr>
              <w:t>Sin evidencia proporcionada</w:t>
            </w:r>
          </w:p>
        </w:tc>
        <w:tc>
          <w:tcPr>
            <w:tcW w:type="dxa" w:w="4335"/>
          </w:tcPr>
          <w:p>
            <w:pPr>
              <w:spacing w:after="40"/>
            </w:pPr>
            <w:r>
              <w:rPr>
                <w:rFonts w:ascii="Arial" w:hAnsi="Arial"/>
                <w:sz w:val="16"/>
              </w:rPr>
              <w:t>No contamos con un apartado de redacción en inglés del estudiante que permita autoevaluar objetivamente este indicador.</w:t>
            </w:r>
          </w:p>
        </w:tc>
      </w:tr>
    </w:tbl>
    <w:p>
      <w:r>
        <w:t>Nota para completar la pauta: seleccionar personalmente una de las cuatro categorías oficiales (Completamente logrado, Logrado, Logro incipiente o No logrado) por indicador solo después de cotejar las evidencias. No se han marcado casillas ni asignado una calificación en tu nombre.</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