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Arial" w:hAnsi="Arial"/>
          <w:b/>
          <w:color w:val="000000"/>
          <w:sz w:val="28"/>
        </w:rPr>
        <w:t>EVALUACIÓN ECONÓMICA Y PROPUESTA DE ADQUISICIÓN</w:t>
        <w:br/>
        <w:t>DE LA PLATAFORMA DE GESTIÓN DE JUNTAS DE VECINOS</w:t>
      </w:r>
    </w:p>
    <w:p>
      <w:pPr>
        <w:spacing w:after="60"/>
        <w:jc w:val="center"/>
      </w:pPr>
      <w:r>
        <w:rPr>
          <w:rFonts w:ascii="Arial" w:hAnsi="Arial"/>
          <w:color w:val="000000"/>
          <w:sz w:val="20"/>
        </w:rPr>
        <w:t>Proyecto APT · Plataforma Inteligente de Gestión y Caracterización Comunitaria para Juntas de Vecinos</w:t>
      </w:r>
    </w:p>
    <w:p>
      <w:pPr>
        <w:spacing w:after="60"/>
        <w:jc w:val="center"/>
      </w:pPr>
      <w:r>
        <w:rPr>
          <w:rFonts w:ascii="Arial" w:hAnsi="Arial"/>
          <w:color w:val="000000"/>
          <w:sz w:val="20"/>
        </w:rPr>
        <w:t>Segunda defensa Capstone · Ingeniería Informática · DUOC UC, sede Puente Alto</w:t>
      </w:r>
    </w:p>
    <w:p>
      <w:pPr>
        <w:spacing w:after="60"/>
        <w:jc w:val="center"/>
      </w:pPr>
      <w:r>
        <w:rPr>
          <w:rFonts w:ascii="Arial" w:hAnsi="Arial"/>
          <w:color w:val="000000"/>
          <w:sz w:val="20"/>
        </w:rPr>
        <w:t>Equipo: Iván Tamayo · Rodrigo Romero · Richard Díaz</w:t>
      </w:r>
    </w:p>
    <w:p>
      <w:pPr>
        <w:spacing w:after="60"/>
        <w:jc w:val="center"/>
      </w:pPr>
      <w:r>
        <w:rPr>
          <w:rFonts w:ascii="Arial" w:hAnsi="Arial"/>
          <w:color w:val="000000"/>
          <w:sz w:val="20"/>
        </w:rPr>
        <w:t>13 de octubre de 2026 · Informe de evaluación económica y propuesta comercial</w:t>
      </w:r>
    </w:p>
    <w:p>
      <w:pPr>
        <w:jc w:val="both"/>
      </w:pPr>
      <w:r>
        <w:rPr>
          <w:rFonts w:ascii="Arial" w:hAnsi="Arial"/>
          <w:b/>
          <w:color w:val="000000"/>
          <w:sz w:val="21"/>
        </w:rPr>
        <w:t>ALCANCE:</w:t>
      </w:r>
      <w:r>
        <w:rPr>
          <w:rFonts w:ascii="Arial" w:hAnsi="Arial"/>
          <w:color w:val="000000"/>
          <w:sz w:val="21"/>
        </w:rPr>
        <w:t xml:space="preserve"> informe económico y comercial de planificación. Las tarifas y capacidades no representan ofertas firmes ni servicios implementados y certificados. Valores de venta netos, más IVA (19%) cuando corresponda; resultados antes de impuesto a la renta.</w:t>
      </w:r>
    </w:p>
    <w:p>
      <w:pPr>
        <w:pStyle w:val="Heading1"/>
        <w:spacing w:before="200" w:after="100"/>
        <w:jc w:val="left"/>
      </w:pPr>
      <w:r>
        <w:rPr>
          <w:rFonts w:ascii="Arial" w:hAnsi="Arial"/>
          <w:color w:val="000000"/>
        </w:rPr>
        <w:t>1. Resumen ejecutivo</w:t>
      </w:r>
    </w:p>
    <w:p>
      <w:pPr>
        <w:jc w:val="both"/>
      </w:pPr>
      <w:r>
        <w:rPr>
          <w:rFonts w:ascii="Arial" w:hAnsi="Arial"/>
          <w:color w:val="000000"/>
          <w:sz w:val="21"/>
        </w:rPr>
        <w:t>APT es una plataforma dirigida a municipalidades y juntas de vecinos para apoyar la gestión comunitaria, las comunicaciones, los trámites, la administración documental y la caracterización territorial. La solución contempla analítica de datos agregados y un asistente inteligente, cuya integración y validación final forman parte del desarrollo. Este informe presenta por primera vez la evaluación económica del proyecto: inversión de desarrollo, infraestructura, costos de operación, alternativas de comercialización y escenarios de rentabilidad.</w:t>
      </w:r>
    </w:p>
    <w:p>
      <w:pPr>
        <w:jc w:val="both"/>
      </w:pPr>
      <w:r>
        <w:rPr>
          <w:rFonts w:ascii="Arial" w:hAnsi="Arial"/>
          <w:color w:val="000000"/>
          <w:sz w:val="21"/>
        </w:rPr>
        <w:t>La inversión estimada de desarrollo corresponde a 810 horas de ingeniería valorizadas a $25.000 cada una, equivalentes a $20.250.000. Para la operación del servicio SaaS se considera una provisión de infraestructura y servicios tecnológicos de $300.000 mensuales ($3.600.000 anuales). La propuesta comercial estudiada contempla una suscripción SaaS de $1.200.000 + IVA por municipalidad al mes y un cargo único de incorporación de $350.000 + IVA por cada junta. Estos valores se someten a validación técnica, de costos y comercial antes de emitir una oferta definitiva.</w:t>
      </w:r>
    </w:p>
    <w:p>
      <w:pPr>
        <w:pStyle w:val="Heading1"/>
        <w:spacing w:before="200" w:after="100"/>
        <w:jc w:val="left"/>
      </w:pPr>
      <w:r>
        <w:rPr>
          <w:rFonts w:ascii="Arial" w:hAnsi="Arial"/>
          <w:color w:val="000000"/>
        </w:rPr>
        <w:t>2. Bases de cálculo, supuestos y validaciones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FFFFFF"/>
          </w:tcPr>
          <w:p>
            <w:pPr>
              <w:spacing w:after="20" w:before="20"/>
              <w:jc w:val="left"/>
            </w:pPr>
            <w:r>
              <w:rPr>
                <w:rFonts w:ascii="Arial" w:hAnsi="Arial"/>
                <w:b/>
                <w:color w:val="000000"/>
                <w:sz w:val="18"/>
              </w:rPr>
              <w:t>Parámetro</w:t>
            </w:r>
          </w:p>
        </w:tc>
        <w:tc>
          <w:tcPr>
            <w:tcW w:type="dxa" w:w="3135"/>
            <w:vAlign w:val="center"/>
            <w:shd w:fill="FFFFFF"/>
          </w:tcPr>
          <w:p>
            <w:pPr>
              <w:spacing w:after="20" w:before="20"/>
              <w:jc w:val="left"/>
            </w:pPr>
            <w:r>
              <w:rPr>
                <w:rFonts w:ascii="Arial" w:hAnsi="Arial"/>
                <w:b/>
                <w:color w:val="000000"/>
                <w:sz w:val="18"/>
              </w:rPr>
              <w:t>Valor / definición</w:t>
            </w:r>
          </w:p>
        </w:tc>
        <w:tc>
          <w:tcPr>
            <w:tcW w:type="dxa" w:w="3135"/>
            <w:vAlign w:val="center"/>
            <w:shd w:fill="FFFFFF"/>
          </w:tcPr>
          <w:p>
            <w:pPr>
              <w:spacing w:after="20" w:before="20"/>
              <w:jc w:val="left"/>
            </w:pPr>
            <w:r>
              <w:rPr>
                <w:rFonts w:ascii="Arial" w:hAnsi="Arial"/>
                <w:b/>
                <w:color w:val="000000"/>
                <w:sz w:val="18"/>
              </w:rPr>
              <w:t>Estatus</w:t>
            </w:r>
          </w:p>
        </w:tc>
      </w:tr>
      <w:tr>
        <w:tc>
          <w:tcPr>
            <w:tcW w:type="dxa" w:w="3135"/>
            <w:vAlign w:val="center"/>
            <w:shd w:fill="FFFFFF"/>
          </w:tcPr>
          <w:p>
            <w:pPr>
              <w:spacing w:after="20" w:before="20"/>
              <w:jc w:val="left"/>
            </w:pPr>
            <w:r>
              <w:rPr>
                <w:rFonts w:ascii="Arial" w:hAnsi="Arial"/>
                <w:color w:val="000000"/>
                <w:sz w:val="18"/>
              </w:rPr>
              <w:t>Ingeniería de desarrollo</w:t>
            </w:r>
          </w:p>
        </w:tc>
        <w:tc>
          <w:tcPr>
            <w:tcW w:type="dxa" w:w="3135"/>
            <w:vAlign w:val="center"/>
            <w:shd w:fill="FFFFFF"/>
          </w:tcPr>
          <w:p>
            <w:pPr>
              <w:spacing w:after="20" w:before="20"/>
              <w:jc w:val="left"/>
            </w:pPr>
            <w:r>
              <w:rPr>
                <w:rFonts w:ascii="Arial" w:hAnsi="Arial"/>
                <w:color w:val="000000"/>
                <w:sz w:val="18"/>
              </w:rPr>
              <w:t>810 h × $25.000 = $20.250.000</w:t>
            </w:r>
          </w:p>
        </w:tc>
        <w:tc>
          <w:tcPr>
            <w:tcW w:type="dxa" w:w="3135"/>
            <w:vAlign w:val="center"/>
            <w:shd w:fill="FFFFFF"/>
          </w:tcPr>
          <w:p>
            <w:pPr>
              <w:spacing w:after="20" w:before="20"/>
              <w:jc w:val="left"/>
            </w:pPr>
            <w:r>
              <w:rPr>
                <w:rFonts w:ascii="Arial" w:hAnsi="Arial"/>
                <w:color w:val="000000"/>
                <w:sz w:val="18"/>
              </w:rPr>
              <w:t>Presupuesto de ingeniería estimado</w:t>
            </w:r>
          </w:p>
        </w:tc>
      </w:tr>
      <w:tr>
        <w:tc>
          <w:tcPr>
            <w:tcW w:type="dxa" w:w="3135"/>
            <w:vAlign w:val="center"/>
            <w:shd w:fill="FFFFFF"/>
          </w:tcPr>
          <w:p>
            <w:pPr>
              <w:spacing w:after="20" w:before="20"/>
              <w:jc w:val="left"/>
            </w:pPr>
            <w:r>
              <w:rPr>
                <w:rFonts w:ascii="Arial" w:hAnsi="Arial"/>
                <w:color w:val="000000"/>
                <w:sz w:val="18"/>
              </w:rPr>
              <w:t>Infraestructura SaaS</w:t>
            </w:r>
          </w:p>
        </w:tc>
        <w:tc>
          <w:tcPr>
            <w:tcW w:type="dxa" w:w="3135"/>
            <w:vAlign w:val="center"/>
            <w:shd w:fill="FFFFFF"/>
          </w:tcPr>
          <w:p>
            <w:pPr>
              <w:spacing w:after="20" w:before="20"/>
              <w:jc w:val="left"/>
            </w:pPr>
            <w:r>
              <w:rPr>
                <w:rFonts w:ascii="Arial" w:hAnsi="Arial"/>
                <w:color w:val="000000"/>
                <w:sz w:val="18"/>
              </w:rPr>
              <w:t>$300.000 al mes</w:t>
            </w:r>
          </w:p>
        </w:tc>
        <w:tc>
          <w:tcPr>
            <w:tcW w:type="dxa" w:w="3135"/>
            <w:vAlign w:val="center"/>
            <w:shd w:fill="FFFFFF"/>
          </w:tcPr>
          <w:p>
            <w:pPr>
              <w:spacing w:after="20" w:before="20"/>
              <w:jc w:val="left"/>
            </w:pPr>
            <w:r>
              <w:rPr>
                <w:rFonts w:ascii="Arial" w:hAnsi="Arial"/>
                <w:color w:val="000000"/>
                <w:sz w:val="18"/>
              </w:rPr>
              <w:t>Provisión presupuestaria; no cotización</w:t>
            </w:r>
          </w:p>
        </w:tc>
      </w:tr>
      <w:tr>
        <w:tc>
          <w:tcPr>
            <w:tcW w:type="dxa" w:w="3135"/>
            <w:vAlign w:val="center"/>
            <w:shd w:fill="FFFFFF"/>
          </w:tcPr>
          <w:p>
            <w:pPr>
              <w:spacing w:after="20" w:before="20"/>
              <w:jc w:val="left"/>
            </w:pPr>
            <w:r>
              <w:rPr>
                <w:rFonts w:ascii="Arial" w:hAnsi="Arial"/>
                <w:color w:val="000000"/>
                <w:sz w:val="18"/>
              </w:rPr>
              <w:t>Operación por municipio</w:t>
            </w:r>
          </w:p>
        </w:tc>
        <w:tc>
          <w:tcPr>
            <w:tcW w:type="dxa" w:w="3135"/>
            <w:vAlign w:val="center"/>
            <w:shd w:fill="FFFFFF"/>
          </w:tcPr>
          <w:p>
            <w:pPr>
              <w:spacing w:after="20" w:before="20"/>
              <w:jc w:val="left"/>
            </w:pPr>
            <w:r>
              <w:rPr>
                <w:rFonts w:ascii="Arial" w:hAnsi="Arial"/>
                <w:color w:val="000000"/>
                <w:sz w:val="18"/>
              </w:rPr>
              <w:t>$435.000 al mes</w:t>
            </w:r>
          </w:p>
        </w:tc>
        <w:tc>
          <w:tcPr>
            <w:tcW w:type="dxa" w:w="3135"/>
            <w:vAlign w:val="center"/>
            <w:shd w:fill="FFFFFF"/>
          </w:tcPr>
          <w:p>
            <w:pPr>
              <w:spacing w:after="20" w:before="20"/>
              <w:jc w:val="left"/>
            </w:pPr>
            <w:r>
              <w:rPr>
                <w:rFonts w:ascii="Arial" w:hAnsi="Arial"/>
                <w:color w:val="000000"/>
                <w:sz w:val="18"/>
              </w:rPr>
              <w:t>Horas y reservas presupuestadas</w:t>
            </w:r>
          </w:p>
        </w:tc>
      </w:tr>
      <w:tr>
        <w:tc>
          <w:tcPr>
            <w:tcW w:type="dxa" w:w="3135"/>
            <w:vAlign w:val="center"/>
            <w:shd w:fill="FFFFFF"/>
          </w:tcPr>
          <w:p>
            <w:pPr>
              <w:spacing w:after="20" w:before="20"/>
              <w:jc w:val="left"/>
            </w:pPr>
            <w:r>
              <w:rPr>
                <w:rFonts w:ascii="Arial" w:hAnsi="Arial"/>
                <w:color w:val="000000"/>
                <w:sz w:val="18"/>
              </w:rPr>
              <w:t>Suscripción SaaS premium</w:t>
            </w:r>
          </w:p>
        </w:tc>
        <w:tc>
          <w:tcPr>
            <w:tcW w:type="dxa" w:w="3135"/>
            <w:vAlign w:val="center"/>
            <w:shd w:fill="FFFFFF"/>
          </w:tcPr>
          <w:p>
            <w:pPr>
              <w:spacing w:after="20" w:before="20"/>
              <w:jc w:val="left"/>
            </w:pPr>
            <w:r>
              <w:rPr>
                <w:rFonts w:ascii="Arial" w:hAnsi="Arial"/>
                <w:color w:val="000000"/>
                <w:sz w:val="18"/>
              </w:rPr>
              <w:t>$1.200.000/mes + IVA</w:t>
            </w:r>
          </w:p>
        </w:tc>
        <w:tc>
          <w:tcPr>
            <w:tcW w:type="dxa" w:w="3135"/>
            <w:vAlign w:val="center"/>
            <w:shd w:fill="FFFFFF"/>
          </w:tcPr>
          <w:p>
            <w:pPr>
              <w:spacing w:after="20" w:before="20"/>
              <w:jc w:val="left"/>
            </w:pPr>
            <w:r>
              <w:rPr>
                <w:rFonts w:ascii="Arial" w:hAnsi="Arial"/>
                <w:color w:val="000000"/>
                <w:sz w:val="18"/>
              </w:rPr>
              <w:t>Escenario comercial, NO aprobado</w:t>
            </w:r>
          </w:p>
        </w:tc>
      </w:tr>
      <w:tr>
        <w:tc>
          <w:tcPr>
            <w:tcW w:type="dxa" w:w="3135"/>
            <w:vAlign w:val="center"/>
            <w:shd w:fill="FFFFFF"/>
          </w:tcPr>
          <w:p>
            <w:pPr>
              <w:spacing w:after="20" w:before="20"/>
              <w:jc w:val="left"/>
            </w:pPr>
            <w:r>
              <w:rPr>
                <w:rFonts w:ascii="Arial" w:hAnsi="Arial"/>
                <w:color w:val="000000"/>
                <w:sz w:val="18"/>
              </w:rPr>
              <w:t>Alta por junta</w:t>
            </w:r>
          </w:p>
        </w:tc>
        <w:tc>
          <w:tcPr>
            <w:tcW w:type="dxa" w:w="3135"/>
            <w:vAlign w:val="center"/>
            <w:shd w:fill="FFFFFF"/>
          </w:tcPr>
          <w:p>
            <w:pPr>
              <w:spacing w:after="20" w:before="20"/>
              <w:jc w:val="left"/>
            </w:pPr>
            <w:r>
              <w:rPr>
                <w:rFonts w:ascii="Arial" w:hAnsi="Arial"/>
                <w:color w:val="000000"/>
                <w:sz w:val="18"/>
              </w:rPr>
              <w:t>$350.000 por única vez + IVA</w:t>
            </w:r>
          </w:p>
        </w:tc>
        <w:tc>
          <w:tcPr>
            <w:tcW w:type="dxa" w:w="3135"/>
            <w:vAlign w:val="center"/>
            <w:shd w:fill="FFFFFF"/>
          </w:tcPr>
          <w:p>
            <w:pPr>
              <w:spacing w:after="20" w:before="20"/>
              <w:jc w:val="left"/>
            </w:pPr>
            <w:r>
              <w:rPr>
                <w:rFonts w:ascii="Arial" w:hAnsi="Arial"/>
                <w:color w:val="000000"/>
                <w:sz w:val="18"/>
              </w:rPr>
              <w:t>Propuesta basada en 9 h de trabajo</w:t>
            </w:r>
          </w:p>
        </w:tc>
      </w:tr>
      <w:tr>
        <w:tc>
          <w:tcPr>
            <w:tcW w:type="dxa" w:w="3135"/>
            <w:vAlign w:val="center"/>
            <w:shd w:fill="FFFFFF"/>
          </w:tcPr>
          <w:p>
            <w:pPr>
              <w:spacing w:after="20" w:before="20"/>
              <w:jc w:val="left"/>
            </w:pPr>
            <w:r>
              <w:rPr>
                <w:rFonts w:ascii="Arial" w:hAnsi="Arial"/>
                <w:color w:val="000000"/>
                <w:sz w:val="18"/>
              </w:rPr>
              <w:t>Juntas iniciales incluidas</w:t>
            </w:r>
          </w:p>
        </w:tc>
        <w:tc>
          <w:tcPr>
            <w:tcW w:type="dxa" w:w="3135"/>
            <w:vAlign w:val="center"/>
            <w:shd w:fill="FFFFFF"/>
          </w:tcPr>
          <w:p>
            <w:pPr>
              <w:spacing w:after="20" w:before="20"/>
              <w:jc w:val="left"/>
            </w:pPr>
            <w:r>
              <w:rPr>
                <w:rFonts w:ascii="Arial" w:hAnsi="Arial"/>
                <w:color w:val="000000"/>
                <w:sz w:val="18"/>
              </w:rPr>
              <w:t>10 por municipio</w:t>
            </w:r>
          </w:p>
        </w:tc>
        <w:tc>
          <w:tcPr>
            <w:tcW w:type="dxa" w:w="3135"/>
            <w:vAlign w:val="center"/>
            <w:shd w:fill="FFFFFF"/>
          </w:tcPr>
          <w:p>
            <w:pPr>
              <w:spacing w:after="20" w:before="20"/>
              <w:jc w:val="left"/>
            </w:pPr>
            <w:r>
              <w:rPr>
                <w:rFonts w:ascii="Arial" w:hAnsi="Arial"/>
                <w:color w:val="000000"/>
                <w:sz w:val="18"/>
              </w:rPr>
              <w:t>Supuesto de piloto, no capacidad certificada</w:t>
            </w:r>
          </w:p>
        </w:tc>
      </w:tr>
      <w:tr>
        <w:tc>
          <w:tcPr>
            <w:tcW w:type="dxa" w:w="3135"/>
            <w:vAlign w:val="center"/>
            <w:shd w:fill="FFFFFF"/>
          </w:tcPr>
          <w:p>
            <w:pPr>
              <w:spacing w:after="20" w:before="20"/>
              <w:jc w:val="left"/>
            </w:pPr>
            <w:r>
              <w:rPr>
                <w:rFonts w:ascii="Arial" w:hAnsi="Arial"/>
                <w:color w:val="000000"/>
                <w:sz w:val="18"/>
              </w:rPr>
              <w:t>Junta extra</w:t>
            </w:r>
          </w:p>
        </w:tc>
        <w:tc>
          <w:tcPr>
            <w:tcW w:type="dxa" w:w="3135"/>
            <w:vAlign w:val="center"/>
            <w:shd w:fill="FFFFFF"/>
          </w:tcPr>
          <w:p>
            <w:pPr>
              <w:spacing w:after="20" w:before="20"/>
              <w:jc w:val="left"/>
            </w:pPr>
            <w:r>
              <w:rPr>
                <w:rFonts w:ascii="Arial" w:hAnsi="Arial"/>
                <w:color w:val="000000"/>
                <w:sz w:val="18"/>
              </w:rPr>
              <w:t>$30.000/mes + IVA</w:t>
            </w:r>
          </w:p>
        </w:tc>
        <w:tc>
          <w:tcPr>
            <w:tcW w:type="dxa" w:w="3135"/>
            <w:vAlign w:val="center"/>
            <w:shd w:fill="FFFFFF"/>
          </w:tcPr>
          <w:p>
            <w:pPr>
              <w:spacing w:after="20" w:before="20"/>
              <w:jc w:val="left"/>
            </w:pPr>
            <w:r>
              <w:rPr>
                <w:rFonts w:ascii="Arial" w:hAnsi="Arial"/>
                <w:color w:val="000000"/>
                <w:sz w:val="18"/>
              </w:rPr>
              <w:t>Simulación sin costo incremental real medido</w:t>
            </w:r>
          </w:p>
        </w:tc>
      </w:tr>
    </w:tbl>
    <w:p>
      <w:pPr>
        <w:spacing w:after="0"/>
        <w:jc w:val="both"/>
      </w:pPr>
    </w:p>
    <w:p>
      <w:pPr>
        <w:jc w:val="both"/>
      </w:pPr>
      <w:r>
        <w:rPr>
          <w:rFonts w:ascii="Arial" w:hAnsi="Arial"/>
          <w:color w:val="000000"/>
          <w:sz w:val="21"/>
        </w:rPr>
        <w:t>La tarifa no se justifica por aspiración de “premium”: debe demostrar cobertura de obligaciones de soporte, seguridad, continuidad y costo empresa, además de disposición a pago del cliente municipal.</w:t>
      </w:r>
    </w:p>
    <w:p>
      <w:pPr>
        <w:pStyle w:val="Heading1"/>
        <w:spacing w:before="200" w:after="100"/>
        <w:jc w:val="left"/>
      </w:pPr>
      <w:r>
        <w:rPr>
          <w:rFonts w:ascii="Arial" w:hAnsi="Arial"/>
          <w:color w:val="000000"/>
        </w:rPr>
        <w:t>3. Plataforma y condiciones que inciden en los costos</w:t>
      </w:r>
    </w:p>
    <w:p>
      <w:pPr>
        <w:jc w:val="both"/>
      </w:pPr>
      <w:r>
        <w:rPr>
          <w:rFonts w:ascii="Arial" w:hAnsi="Arial"/>
          <w:color w:val="000000"/>
          <w:sz w:val="21"/>
        </w:rPr>
        <w:t>En el ZIP estimado de APT se identificó una base React/TypeScript/Vite, APIs Django/DRF, MySQL y componentes de OCR local de residencia. Los documentos de arquitectura y procesos contemplan un chatbot Gemini, caché, analítica y automatizaciones. La presencia de diseño o código no acredita funcionamiento productivo ni controles de seguridad superados.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FFFFFF"/>
          </w:tcPr>
          <w:p>
            <w:pPr>
              <w:spacing w:after="20" w:before="20"/>
              <w:jc w:val="left"/>
            </w:pPr>
            <w:r>
              <w:rPr>
                <w:rFonts w:ascii="Arial" w:hAnsi="Arial"/>
                <w:b/>
                <w:color w:val="000000"/>
                <w:sz w:val="18"/>
              </w:rPr>
              <w:t>Componente</w:t>
            </w:r>
          </w:p>
        </w:tc>
        <w:tc>
          <w:tcPr>
            <w:tcW w:type="dxa" w:w="3135"/>
            <w:vAlign w:val="center"/>
            <w:shd w:fill="FFFFFF"/>
          </w:tcPr>
          <w:p>
            <w:pPr>
              <w:spacing w:after="20" w:before="20"/>
              <w:jc w:val="left"/>
            </w:pPr>
            <w:r>
              <w:rPr>
                <w:rFonts w:ascii="Arial" w:hAnsi="Arial"/>
                <w:b/>
                <w:color w:val="000000"/>
                <w:sz w:val="18"/>
              </w:rPr>
              <w:t>Implicación de costo</w:t>
            </w:r>
          </w:p>
        </w:tc>
        <w:tc>
          <w:tcPr>
            <w:tcW w:type="dxa" w:w="3135"/>
            <w:vAlign w:val="center"/>
            <w:shd w:fill="FFFFFF"/>
          </w:tcPr>
          <w:p>
            <w:pPr>
              <w:spacing w:after="20" w:before="20"/>
              <w:jc w:val="left"/>
            </w:pPr>
            <w:r>
              <w:rPr>
                <w:rFonts w:ascii="Arial" w:hAnsi="Arial"/>
                <w:b/>
                <w:color w:val="000000"/>
                <w:sz w:val="18"/>
              </w:rPr>
              <w:t>Verificación requerida</w:t>
            </w:r>
          </w:p>
        </w:tc>
      </w:tr>
      <w:tr>
        <w:tc>
          <w:tcPr>
            <w:tcW w:type="dxa" w:w="3135"/>
            <w:vAlign w:val="center"/>
            <w:shd w:fill="FFFFFF"/>
          </w:tcPr>
          <w:p>
            <w:pPr>
              <w:spacing w:after="20" w:before="20"/>
              <w:jc w:val="left"/>
            </w:pPr>
            <w:r>
              <w:rPr>
                <w:rFonts w:ascii="Arial" w:hAnsi="Arial"/>
                <w:color w:val="000000"/>
                <w:sz w:val="18"/>
              </w:rPr>
              <w:t>Django / frontend</w:t>
            </w:r>
          </w:p>
        </w:tc>
        <w:tc>
          <w:tcPr>
            <w:tcW w:type="dxa" w:w="3135"/>
            <w:vAlign w:val="center"/>
            <w:shd w:fill="FFFFFF"/>
          </w:tcPr>
          <w:p>
            <w:pPr>
              <w:spacing w:after="20" w:before="20"/>
              <w:jc w:val="left"/>
            </w:pPr>
            <w:r>
              <w:rPr>
                <w:rFonts w:ascii="Arial" w:hAnsi="Arial"/>
                <w:color w:val="000000"/>
                <w:sz w:val="18"/>
              </w:rPr>
              <w:t>Servidor de aplicación, configuración, parches y observabilidad</w:t>
            </w:r>
          </w:p>
        </w:tc>
        <w:tc>
          <w:tcPr>
            <w:tcW w:type="dxa" w:w="3135"/>
            <w:vAlign w:val="center"/>
            <w:shd w:fill="FFFFFF"/>
          </w:tcPr>
          <w:p>
            <w:pPr>
              <w:spacing w:after="20" w:before="20"/>
              <w:jc w:val="left"/>
            </w:pPr>
            <w:r>
              <w:rPr>
                <w:rFonts w:ascii="Arial" w:hAnsi="Arial"/>
                <w:color w:val="000000"/>
                <w:sz w:val="18"/>
              </w:rPr>
              <w:t>Carga E2E, concurrencia y despliegue</w:t>
            </w:r>
          </w:p>
        </w:tc>
      </w:tr>
      <w:tr>
        <w:tc>
          <w:tcPr>
            <w:tcW w:type="dxa" w:w="3135"/>
            <w:vAlign w:val="center"/>
            <w:shd w:fill="FFFFFF"/>
          </w:tcPr>
          <w:p>
            <w:pPr>
              <w:spacing w:after="20" w:before="20"/>
              <w:jc w:val="left"/>
            </w:pPr>
            <w:r>
              <w:rPr>
                <w:rFonts w:ascii="Arial" w:hAnsi="Arial"/>
                <w:color w:val="000000"/>
                <w:sz w:val="18"/>
              </w:rPr>
              <w:t>MySQL</w:t>
            </w:r>
          </w:p>
        </w:tc>
        <w:tc>
          <w:tcPr>
            <w:tcW w:type="dxa" w:w="3135"/>
            <w:vAlign w:val="center"/>
            <w:shd w:fill="FFFFFF"/>
          </w:tcPr>
          <w:p>
            <w:pPr>
              <w:spacing w:after="20" w:before="20"/>
              <w:jc w:val="left"/>
            </w:pPr>
            <w:r>
              <w:rPr>
                <w:rFonts w:ascii="Arial" w:hAnsi="Arial"/>
                <w:color w:val="000000"/>
                <w:sz w:val="18"/>
              </w:rPr>
              <w:t>Conexiones, índices, copias recuperables y redundancia</w:t>
            </w:r>
          </w:p>
        </w:tc>
        <w:tc>
          <w:tcPr>
            <w:tcW w:type="dxa" w:w="3135"/>
            <w:vAlign w:val="center"/>
            <w:shd w:fill="FFFFFF"/>
          </w:tcPr>
          <w:p>
            <w:pPr>
              <w:spacing w:after="20" w:before="20"/>
              <w:jc w:val="left"/>
            </w:pPr>
            <w:r>
              <w:rPr>
                <w:rFonts w:ascii="Arial" w:hAnsi="Arial"/>
                <w:color w:val="000000"/>
                <w:sz w:val="18"/>
              </w:rPr>
              <w:t>Volumen, restauración y rendimiento</w:t>
            </w:r>
          </w:p>
        </w:tc>
      </w:tr>
      <w:tr>
        <w:tc>
          <w:tcPr>
            <w:tcW w:type="dxa" w:w="3135"/>
            <w:vAlign w:val="center"/>
            <w:shd w:fill="FFFFFF"/>
          </w:tcPr>
          <w:p>
            <w:pPr>
              <w:spacing w:after="20" w:before="20"/>
              <w:jc w:val="left"/>
            </w:pPr>
            <w:r>
              <w:rPr>
                <w:rFonts w:ascii="Arial" w:hAnsi="Arial"/>
                <w:color w:val="000000"/>
                <w:sz w:val="18"/>
              </w:rPr>
              <w:t>Adjuntos y OCR local</w:t>
            </w:r>
          </w:p>
        </w:tc>
        <w:tc>
          <w:tcPr>
            <w:tcW w:type="dxa" w:w="3135"/>
            <w:vAlign w:val="center"/>
            <w:shd w:fill="FFFFFF"/>
          </w:tcPr>
          <w:p>
            <w:pPr>
              <w:spacing w:after="20" w:before="20"/>
              <w:jc w:val="left"/>
            </w:pPr>
            <w:r>
              <w:rPr>
                <w:rFonts w:ascii="Arial" w:hAnsi="Arial"/>
                <w:color w:val="000000"/>
                <w:sz w:val="18"/>
              </w:rPr>
              <w:t>Almacenamiento persistente, CPU/RAM y revisión de resultados</w:t>
            </w:r>
          </w:p>
        </w:tc>
        <w:tc>
          <w:tcPr>
            <w:tcW w:type="dxa" w:w="3135"/>
            <w:vAlign w:val="center"/>
            <w:shd w:fill="FFFFFF"/>
          </w:tcPr>
          <w:p>
            <w:pPr>
              <w:spacing w:after="20" w:before="20"/>
              <w:jc w:val="left"/>
            </w:pPr>
            <w:r>
              <w:rPr>
                <w:rFonts w:ascii="Arial" w:hAnsi="Arial"/>
                <w:color w:val="000000"/>
                <w:sz w:val="18"/>
              </w:rPr>
              <w:t>GB/junta, documentos/mes y precisión OCR</w:t>
            </w:r>
          </w:p>
        </w:tc>
      </w:tr>
      <w:tr>
        <w:tc>
          <w:tcPr>
            <w:tcW w:type="dxa" w:w="3135"/>
            <w:vAlign w:val="center"/>
            <w:shd w:fill="FFFFFF"/>
          </w:tcPr>
          <w:p>
            <w:pPr>
              <w:spacing w:after="20" w:before="20"/>
              <w:jc w:val="left"/>
            </w:pPr>
            <w:r>
              <w:rPr>
                <w:rFonts w:ascii="Arial" w:hAnsi="Arial"/>
                <w:color w:val="000000"/>
                <w:sz w:val="18"/>
              </w:rPr>
              <w:t>Correo y notificaciones</w:t>
            </w:r>
          </w:p>
        </w:tc>
        <w:tc>
          <w:tcPr>
            <w:tcW w:type="dxa" w:w="3135"/>
            <w:vAlign w:val="center"/>
            <w:shd w:fill="FFFFFF"/>
          </w:tcPr>
          <w:p>
            <w:pPr>
              <w:spacing w:after="20" w:before="20"/>
              <w:jc w:val="left"/>
            </w:pPr>
            <w:r>
              <w:rPr>
                <w:rFonts w:ascii="Arial" w:hAnsi="Arial"/>
                <w:color w:val="000000"/>
                <w:sz w:val="18"/>
              </w:rPr>
              <w:t>Mensajería transaccional, cuotas, entregabilidad</w:t>
            </w:r>
          </w:p>
        </w:tc>
        <w:tc>
          <w:tcPr>
            <w:tcW w:type="dxa" w:w="3135"/>
            <w:vAlign w:val="center"/>
            <w:shd w:fill="FFFFFF"/>
          </w:tcPr>
          <w:p>
            <w:pPr>
              <w:spacing w:after="20" w:before="20"/>
              <w:jc w:val="left"/>
            </w:pPr>
            <w:r>
              <w:rPr>
                <w:rFonts w:ascii="Arial" w:hAnsi="Arial"/>
                <w:color w:val="000000"/>
                <w:sz w:val="18"/>
              </w:rPr>
              <w:t>Correos reales por mes y precios</w:t>
            </w:r>
          </w:p>
        </w:tc>
      </w:tr>
      <w:tr>
        <w:tc>
          <w:tcPr>
            <w:tcW w:type="dxa" w:w="3135"/>
            <w:vAlign w:val="center"/>
            <w:shd w:fill="FFFFFF"/>
          </w:tcPr>
          <w:p>
            <w:pPr>
              <w:spacing w:after="20" w:before="20"/>
              <w:jc w:val="left"/>
            </w:pPr>
            <w:r>
              <w:rPr>
                <w:rFonts w:ascii="Arial" w:hAnsi="Arial"/>
                <w:color w:val="000000"/>
                <w:sz w:val="18"/>
              </w:rPr>
              <w:t>IA / Gemini</w:t>
            </w:r>
          </w:p>
        </w:tc>
        <w:tc>
          <w:tcPr>
            <w:tcW w:type="dxa" w:w="3135"/>
            <w:vAlign w:val="center"/>
            <w:shd w:fill="FFFFFF"/>
          </w:tcPr>
          <w:p>
            <w:pPr>
              <w:spacing w:after="20" w:before="20"/>
              <w:jc w:val="left"/>
            </w:pPr>
            <w:r>
              <w:rPr>
                <w:rFonts w:ascii="Arial" w:hAnsi="Arial"/>
                <w:color w:val="000000"/>
                <w:sz w:val="18"/>
              </w:rPr>
              <w:t>Tokens de entrada/salida, privacidad, caché y límites de gasto</w:t>
            </w:r>
          </w:p>
        </w:tc>
        <w:tc>
          <w:tcPr>
            <w:tcW w:type="dxa" w:w="3135"/>
            <w:vAlign w:val="center"/>
            <w:shd w:fill="FFFFFF"/>
          </w:tcPr>
          <w:p>
            <w:pPr>
              <w:spacing w:after="20" w:before="20"/>
              <w:jc w:val="left"/>
            </w:pPr>
            <w:r>
              <w:rPr>
                <w:rFonts w:ascii="Arial" w:hAnsi="Arial"/>
                <w:color w:val="000000"/>
                <w:sz w:val="18"/>
              </w:rPr>
              <w:t>Modelo vigente, consumo y pruebas</w:t>
            </w:r>
          </w:p>
        </w:tc>
      </w:tr>
      <w:tr>
        <w:tc>
          <w:tcPr>
            <w:tcW w:type="dxa" w:w="3135"/>
            <w:vAlign w:val="center"/>
            <w:shd w:fill="FFFFFF"/>
          </w:tcPr>
          <w:p>
            <w:pPr>
              <w:spacing w:after="20" w:before="20"/>
              <w:jc w:val="left"/>
            </w:pPr>
            <w:r>
              <w:rPr>
                <w:rFonts w:ascii="Arial" w:hAnsi="Arial"/>
                <w:color w:val="000000"/>
                <w:sz w:val="18"/>
              </w:rPr>
              <w:t>Analítica programada</w:t>
            </w:r>
          </w:p>
        </w:tc>
        <w:tc>
          <w:tcPr>
            <w:tcW w:type="dxa" w:w="3135"/>
            <w:vAlign w:val="center"/>
            <w:shd w:fill="FFFFFF"/>
          </w:tcPr>
          <w:p>
            <w:pPr>
              <w:spacing w:after="20" w:before="20"/>
              <w:jc w:val="left"/>
            </w:pPr>
            <w:r>
              <w:rPr>
                <w:rFonts w:ascii="Arial" w:hAnsi="Arial"/>
                <w:color w:val="000000"/>
                <w:sz w:val="18"/>
              </w:rPr>
              <w:t>Tareas de fondo, colas y recursos de proceso</w:t>
            </w:r>
          </w:p>
        </w:tc>
        <w:tc>
          <w:tcPr>
            <w:tcW w:type="dxa" w:w="3135"/>
            <w:vAlign w:val="center"/>
            <w:shd w:fill="FFFFFF"/>
          </w:tcPr>
          <w:p>
            <w:pPr>
              <w:spacing w:after="20" w:before="20"/>
              <w:jc w:val="left"/>
            </w:pPr>
            <w:r>
              <w:rPr>
                <w:rFonts w:ascii="Arial" w:hAnsi="Arial"/>
                <w:color w:val="000000"/>
                <w:sz w:val="18"/>
              </w:rPr>
              <w:t>Carga nocturna y consistencia</w:t>
            </w:r>
          </w:p>
        </w:tc>
      </w:tr>
      <w:tr>
        <w:tc>
          <w:tcPr>
            <w:tcW w:type="dxa" w:w="3135"/>
            <w:vAlign w:val="center"/>
            <w:shd w:fill="FFFFFF"/>
          </w:tcPr>
          <w:p>
            <w:pPr>
              <w:spacing w:after="20" w:before="20"/>
              <w:jc w:val="left"/>
            </w:pPr>
            <w:r>
              <w:rPr>
                <w:rFonts w:ascii="Arial" w:hAnsi="Arial"/>
                <w:color w:val="000000"/>
                <w:sz w:val="18"/>
              </w:rPr>
              <w:t>Multi-municipio</w:t>
            </w:r>
          </w:p>
        </w:tc>
        <w:tc>
          <w:tcPr>
            <w:tcW w:type="dxa" w:w="3135"/>
            <w:vAlign w:val="center"/>
            <w:shd w:fill="FFFFFF"/>
          </w:tcPr>
          <w:p>
            <w:pPr>
              <w:spacing w:after="20" w:before="20"/>
              <w:jc w:val="left"/>
            </w:pPr>
            <w:r>
              <w:rPr>
                <w:rFonts w:ascii="Arial" w:hAnsi="Arial"/>
                <w:color w:val="000000"/>
                <w:sz w:val="18"/>
              </w:rPr>
              <w:t>Aislamiento de permisos y datos, registros de acceso</w:t>
            </w:r>
          </w:p>
        </w:tc>
        <w:tc>
          <w:tcPr>
            <w:tcW w:type="dxa" w:w="3135"/>
            <w:vAlign w:val="center"/>
            <w:shd w:fill="FFFFFF"/>
          </w:tcPr>
          <w:p>
            <w:pPr>
              <w:spacing w:after="20" w:before="20"/>
              <w:jc w:val="left"/>
            </w:pPr>
            <w:r>
              <w:rPr>
                <w:rFonts w:ascii="Arial" w:hAnsi="Arial"/>
                <w:color w:val="000000"/>
                <w:sz w:val="18"/>
              </w:rPr>
              <w:t>Pruebas entre municipios</w:t>
            </w:r>
          </w:p>
        </w:tc>
      </w:tr>
    </w:tbl>
    <w:p>
      <w:pPr>
        <w:spacing w:after="0"/>
        <w:jc w:val="both"/>
      </w:pPr>
    </w:p>
    <w:p>
      <w:pPr>
        <w:pStyle w:val="Heading1"/>
        <w:spacing w:before="200" w:after="100"/>
        <w:jc w:val="left"/>
      </w:pPr>
      <w:r>
        <w:rPr>
          <w:rFonts w:ascii="Arial" w:hAnsi="Arial"/>
          <w:color w:val="000000"/>
        </w:rPr>
        <w:t>4. Arquitectura objetivo y presupuesto tecnológico</w:t>
      </w:r>
    </w:p>
    <w:p>
      <w:pPr>
        <w:jc w:val="both"/>
      </w:pPr>
      <w:r>
        <w:rPr>
          <w:rFonts w:ascii="Arial" w:hAnsi="Arial"/>
          <w:color w:val="000000"/>
          <w:sz w:val="21"/>
        </w:rPr>
        <w:t>Arquitectura de referencia: frontend estático servido por CDN; servidor de aplicación Django; MySQL administrado con redundancia de base de datos; almacenamiento privado de documentos; backups independientes; monitoreo, alertas, correo transaccional y servicio de IA con cuotas. Esta propuesta NO asegura alta disponibilidad de todo el sistema: un solo servidor Django sigue siendo punto único de falla.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FFFFFF"/>
          </w:tcPr>
          <w:p>
            <w:pPr>
              <w:spacing w:after="20" w:before="20"/>
              <w:jc w:val="left"/>
            </w:pPr>
            <w:r>
              <w:rPr>
                <w:rFonts w:ascii="Arial" w:hAnsi="Arial"/>
                <w:b/>
                <w:color w:val="000000"/>
                <w:sz w:val="18"/>
              </w:rPr>
              <w:t>Partida mensual</w:t>
            </w:r>
          </w:p>
        </w:tc>
        <w:tc>
          <w:tcPr>
            <w:tcW w:type="dxa" w:w="3135"/>
            <w:vAlign w:val="center"/>
            <w:shd w:fill="FFFFFF"/>
          </w:tcPr>
          <w:p>
            <w:pPr>
              <w:spacing w:after="20" w:before="20"/>
              <w:jc w:val="left"/>
            </w:pPr>
            <w:r>
              <w:rPr>
                <w:rFonts w:ascii="Arial" w:hAnsi="Arial"/>
                <w:b/>
                <w:color w:val="000000"/>
                <w:sz w:val="18"/>
              </w:rPr>
              <w:t>Referencia USD</w:t>
            </w:r>
          </w:p>
        </w:tc>
        <w:tc>
          <w:tcPr>
            <w:tcW w:type="dxa" w:w="3135"/>
            <w:vAlign w:val="center"/>
            <w:shd w:fill="FFFFFF"/>
          </w:tcPr>
          <w:p>
            <w:pPr>
              <w:spacing w:after="20" w:before="20"/>
              <w:jc w:val="left"/>
            </w:pPr>
            <w:r>
              <w:rPr>
                <w:rFonts w:ascii="Arial" w:hAnsi="Arial"/>
                <w:b/>
                <w:color w:val="000000"/>
                <w:sz w:val="18"/>
              </w:rPr>
              <w:t>Tipo de cifra</w:t>
            </w:r>
          </w:p>
        </w:tc>
      </w:tr>
      <w:tr>
        <w:tc>
          <w:tcPr>
            <w:tcW w:type="dxa" w:w="3135"/>
            <w:vAlign w:val="center"/>
            <w:shd w:fill="FFFFFF"/>
          </w:tcPr>
          <w:p>
            <w:pPr>
              <w:spacing w:after="20" w:before="20"/>
              <w:jc w:val="left"/>
            </w:pPr>
            <w:r>
              <w:rPr>
                <w:rFonts w:ascii="Arial" w:hAnsi="Arial"/>
                <w:color w:val="000000"/>
                <w:sz w:val="18"/>
              </w:rPr>
              <w:t>Servidor app 4 vCPU / 8 GB RAM</w:t>
            </w:r>
          </w:p>
        </w:tc>
        <w:tc>
          <w:tcPr>
            <w:tcW w:type="dxa" w:w="3135"/>
            <w:vAlign w:val="center"/>
            <w:shd w:fill="FFFFFF"/>
          </w:tcPr>
          <w:p>
            <w:pPr>
              <w:spacing w:after="20" w:before="20"/>
              <w:jc w:val="left"/>
            </w:pPr>
            <w:r>
              <w:rPr>
                <w:rFonts w:ascii="Arial" w:hAnsi="Arial"/>
                <w:color w:val="000000"/>
                <w:sz w:val="18"/>
              </w:rPr>
              <w:t>48,00</w:t>
            </w:r>
          </w:p>
        </w:tc>
        <w:tc>
          <w:tcPr>
            <w:tcW w:type="dxa" w:w="3135"/>
            <w:vAlign w:val="center"/>
            <w:shd w:fill="FFFFFF"/>
          </w:tcPr>
          <w:p>
            <w:pPr>
              <w:spacing w:after="20" w:before="20"/>
              <w:jc w:val="left"/>
            </w:pPr>
            <w:r>
              <w:rPr>
                <w:rFonts w:ascii="Arial" w:hAnsi="Arial"/>
                <w:color w:val="000000"/>
                <w:sz w:val="18"/>
              </w:rPr>
              <w:t>Precio público de referencia DigitalOcean</w:t>
            </w:r>
          </w:p>
        </w:tc>
      </w:tr>
      <w:tr>
        <w:tc>
          <w:tcPr>
            <w:tcW w:type="dxa" w:w="3135"/>
            <w:vAlign w:val="center"/>
            <w:shd w:fill="FFFFFF"/>
          </w:tcPr>
          <w:p>
            <w:pPr>
              <w:spacing w:after="20" w:before="20"/>
              <w:jc w:val="left"/>
            </w:pPr>
            <w:r>
              <w:rPr>
                <w:rFonts w:ascii="Arial" w:hAnsi="Arial"/>
                <w:color w:val="000000"/>
                <w:sz w:val="18"/>
              </w:rPr>
              <w:t>MySQL administrado, 2 nodos</w:t>
            </w:r>
          </w:p>
        </w:tc>
        <w:tc>
          <w:tcPr>
            <w:tcW w:type="dxa" w:w="3135"/>
            <w:vAlign w:val="center"/>
            <w:shd w:fill="FFFFFF"/>
          </w:tcPr>
          <w:p>
            <w:pPr>
              <w:spacing w:after="20" w:before="20"/>
              <w:jc w:val="left"/>
            </w:pPr>
            <w:r>
              <w:rPr>
                <w:rFonts w:ascii="Arial" w:hAnsi="Arial"/>
                <w:color w:val="000000"/>
                <w:sz w:val="18"/>
              </w:rPr>
              <w:t>60,00</w:t>
            </w:r>
          </w:p>
        </w:tc>
        <w:tc>
          <w:tcPr>
            <w:tcW w:type="dxa" w:w="3135"/>
            <w:vAlign w:val="center"/>
            <w:shd w:fill="FFFFFF"/>
          </w:tcPr>
          <w:p>
            <w:pPr>
              <w:spacing w:after="20" w:before="20"/>
              <w:jc w:val="left"/>
            </w:pPr>
            <w:r>
              <w:rPr>
                <w:rFonts w:ascii="Arial" w:hAnsi="Arial"/>
                <w:color w:val="000000"/>
                <w:sz w:val="18"/>
              </w:rPr>
              <w:t>Precio público desde; revisar condiciones</w:t>
            </w:r>
          </w:p>
        </w:tc>
      </w:tr>
      <w:tr>
        <w:tc>
          <w:tcPr>
            <w:tcW w:type="dxa" w:w="3135"/>
            <w:vAlign w:val="center"/>
            <w:shd w:fill="FFFFFF"/>
          </w:tcPr>
          <w:p>
            <w:pPr>
              <w:spacing w:after="20" w:before="20"/>
              <w:jc w:val="left"/>
            </w:pPr>
            <w:r>
              <w:rPr>
                <w:rFonts w:ascii="Arial" w:hAnsi="Arial"/>
                <w:color w:val="000000"/>
                <w:sz w:val="18"/>
              </w:rPr>
              <w:t>Almacenamiento de archivos</w:t>
            </w:r>
          </w:p>
        </w:tc>
        <w:tc>
          <w:tcPr>
            <w:tcW w:type="dxa" w:w="3135"/>
            <w:vAlign w:val="center"/>
            <w:shd w:fill="FFFFFF"/>
          </w:tcPr>
          <w:p>
            <w:pPr>
              <w:spacing w:after="20" w:before="20"/>
              <w:jc w:val="left"/>
            </w:pPr>
            <w:r>
              <w:rPr>
                <w:rFonts w:ascii="Arial" w:hAnsi="Arial"/>
                <w:color w:val="000000"/>
                <w:sz w:val="18"/>
              </w:rPr>
              <w:t>5,00</w:t>
            </w:r>
          </w:p>
        </w:tc>
        <w:tc>
          <w:tcPr>
            <w:tcW w:type="dxa" w:w="3135"/>
            <w:vAlign w:val="center"/>
            <w:shd w:fill="FFFFFF"/>
          </w:tcPr>
          <w:p>
            <w:pPr>
              <w:spacing w:after="20" w:before="20"/>
              <w:jc w:val="left"/>
            </w:pPr>
            <w:r>
              <w:rPr>
                <w:rFonts w:ascii="Arial" w:hAnsi="Arial"/>
                <w:color w:val="000000"/>
                <w:sz w:val="18"/>
              </w:rPr>
              <w:t>Precio base de referencia; puede escalar</w:t>
            </w:r>
          </w:p>
        </w:tc>
      </w:tr>
      <w:tr>
        <w:tc>
          <w:tcPr>
            <w:tcW w:type="dxa" w:w="3135"/>
            <w:vAlign w:val="center"/>
            <w:shd w:fill="FFFFFF"/>
          </w:tcPr>
          <w:p>
            <w:pPr>
              <w:spacing w:after="20" w:before="20"/>
              <w:jc w:val="left"/>
            </w:pPr>
            <w:r>
              <w:rPr>
                <w:rFonts w:ascii="Arial" w:hAnsi="Arial"/>
                <w:color w:val="000000"/>
                <w:sz w:val="18"/>
              </w:rPr>
              <w:t>Backup del servidor</w:t>
            </w:r>
          </w:p>
        </w:tc>
        <w:tc>
          <w:tcPr>
            <w:tcW w:type="dxa" w:w="3135"/>
            <w:vAlign w:val="center"/>
            <w:shd w:fill="FFFFFF"/>
          </w:tcPr>
          <w:p>
            <w:pPr>
              <w:spacing w:after="20" w:before="20"/>
              <w:jc w:val="left"/>
            </w:pPr>
            <w:r>
              <w:rPr>
                <w:rFonts w:ascii="Arial" w:hAnsi="Arial"/>
                <w:color w:val="000000"/>
                <w:sz w:val="18"/>
              </w:rPr>
              <w:t>14,40</w:t>
            </w:r>
          </w:p>
        </w:tc>
        <w:tc>
          <w:tcPr>
            <w:tcW w:type="dxa" w:w="3135"/>
            <w:vAlign w:val="center"/>
            <w:shd w:fill="FFFFFF"/>
          </w:tcPr>
          <w:p>
            <w:pPr>
              <w:spacing w:after="20" w:before="20"/>
              <w:jc w:val="left"/>
            </w:pPr>
            <w:r>
              <w:rPr>
                <w:rFonts w:ascii="Arial" w:hAnsi="Arial"/>
                <w:color w:val="000000"/>
                <w:sz w:val="18"/>
              </w:rPr>
              <w:t>Referencia 30% de USD 48</w:t>
            </w:r>
          </w:p>
        </w:tc>
      </w:tr>
      <w:tr>
        <w:tc>
          <w:tcPr>
            <w:tcW w:type="dxa" w:w="3135"/>
            <w:vAlign w:val="center"/>
            <w:shd w:fill="FFFFFF"/>
          </w:tcPr>
          <w:p>
            <w:pPr>
              <w:spacing w:after="20" w:before="20"/>
              <w:jc w:val="left"/>
            </w:pPr>
            <w:r>
              <w:rPr>
                <w:rFonts w:ascii="Arial" w:hAnsi="Arial"/>
                <w:color w:val="000000"/>
                <w:sz w:val="18"/>
              </w:rPr>
              <w:t>Gemini / IA</w:t>
            </w:r>
          </w:p>
        </w:tc>
        <w:tc>
          <w:tcPr>
            <w:tcW w:type="dxa" w:w="3135"/>
            <w:vAlign w:val="center"/>
            <w:shd w:fill="FFFFFF"/>
          </w:tcPr>
          <w:p>
            <w:pPr>
              <w:spacing w:after="20" w:before="20"/>
              <w:jc w:val="left"/>
            </w:pPr>
            <w:r>
              <w:rPr>
                <w:rFonts w:ascii="Arial" w:hAnsi="Arial"/>
                <w:color w:val="000000"/>
                <w:sz w:val="18"/>
              </w:rPr>
              <w:t>20,00</w:t>
            </w:r>
          </w:p>
        </w:tc>
        <w:tc>
          <w:tcPr>
            <w:tcW w:type="dxa" w:w="3135"/>
            <w:vAlign w:val="center"/>
            <w:shd w:fill="FFFFFF"/>
          </w:tcPr>
          <w:p>
            <w:pPr>
              <w:spacing w:after="20" w:before="20"/>
              <w:jc w:val="left"/>
            </w:pPr>
            <w:r>
              <w:rPr>
                <w:rFonts w:ascii="Arial" w:hAnsi="Arial"/>
                <w:color w:val="000000"/>
                <w:sz w:val="18"/>
              </w:rPr>
              <w:t>Reserva ilustrativa sin medición</w:t>
            </w:r>
          </w:p>
        </w:tc>
      </w:tr>
      <w:tr>
        <w:tc>
          <w:tcPr>
            <w:tcW w:type="dxa" w:w="3135"/>
            <w:vAlign w:val="center"/>
            <w:shd w:fill="FFFFFF"/>
          </w:tcPr>
          <w:p>
            <w:pPr>
              <w:spacing w:after="20" w:before="20"/>
              <w:jc w:val="left"/>
            </w:pPr>
            <w:r>
              <w:rPr>
                <w:rFonts w:ascii="Arial" w:hAnsi="Arial"/>
                <w:color w:val="000000"/>
                <w:sz w:val="18"/>
              </w:rPr>
              <w:t>Respaldos independientes</w:t>
            </w:r>
          </w:p>
        </w:tc>
        <w:tc>
          <w:tcPr>
            <w:tcW w:type="dxa" w:w="3135"/>
            <w:vAlign w:val="center"/>
            <w:shd w:fill="FFFFFF"/>
          </w:tcPr>
          <w:p>
            <w:pPr>
              <w:spacing w:after="20" w:before="20"/>
              <w:jc w:val="left"/>
            </w:pPr>
            <w:r>
              <w:rPr>
                <w:rFonts w:ascii="Arial" w:hAnsi="Arial"/>
                <w:color w:val="000000"/>
                <w:sz w:val="18"/>
              </w:rPr>
              <w:t>15,00</w:t>
            </w:r>
          </w:p>
        </w:tc>
        <w:tc>
          <w:tcPr>
            <w:tcW w:type="dxa" w:w="3135"/>
            <w:vAlign w:val="center"/>
            <w:shd w:fill="FFFFFF"/>
          </w:tcPr>
          <w:p>
            <w:pPr>
              <w:spacing w:after="20" w:before="20"/>
              <w:jc w:val="left"/>
            </w:pPr>
            <w:r>
              <w:rPr>
                <w:rFonts w:ascii="Arial" w:hAnsi="Arial"/>
                <w:color w:val="000000"/>
                <w:sz w:val="18"/>
              </w:rPr>
              <w:t>Reserva ilustrativa</w:t>
            </w:r>
          </w:p>
        </w:tc>
      </w:tr>
      <w:tr>
        <w:tc>
          <w:tcPr>
            <w:tcW w:type="dxa" w:w="3135"/>
            <w:vAlign w:val="center"/>
            <w:shd w:fill="FFFFFF"/>
          </w:tcPr>
          <w:p>
            <w:pPr>
              <w:spacing w:after="20" w:before="20"/>
              <w:jc w:val="left"/>
            </w:pPr>
            <w:r>
              <w:rPr>
                <w:rFonts w:ascii="Arial" w:hAnsi="Arial"/>
                <w:color w:val="000000"/>
                <w:sz w:val="18"/>
              </w:rPr>
              <w:t>Monitoreo y alertas</w:t>
            </w:r>
          </w:p>
        </w:tc>
        <w:tc>
          <w:tcPr>
            <w:tcW w:type="dxa" w:w="3135"/>
            <w:vAlign w:val="center"/>
            <w:shd w:fill="FFFFFF"/>
          </w:tcPr>
          <w:p>
            <w:pPr>
              <w:spacing w:after="20" w:before="20"/>
              <w:jc w:val="left"/>
            </w:pPr>
            <w:r>
              <w:rPr>
                <w:rFonts w:ascii="Arial" w:hAnsi="Arial"/>
                <w:color w:val="000000"/>
                <w:sz w:val="18"/>
              </w:rPr>
              <w:t>15,00</w:t>
            </w:r>
          </w:p>
        </w:tc>
        <w:tc>
          <w:tcPr>
            <w:tcW w:type="dxa" w:w="3135"/>
            <w:vAlign w:val="center"/>
            <w:shd w:fill="FFFFFF"/>
          </w:tcPr>
          <w:p>
            <w:pPr>
              <w:spacing w:after="20" w:before="20"/>
              <w:jc w:val="left"/>
            </w:pPr>
            <w:r>
              <w:rPr>
                <w:rFonts w:ascii="Arial" w:hAnsi="Arial"/>
                <w:color w:val="000000"/>
                <w:sz w:val="18"/>
              </w:rPr>
              <w:t>Reserva ilustrativa</w:t>
            </w:r>
          </w:p>
        </w:tc>
      </w:tr>
      <w:tr>
        <w:tc>
          <w:tcPr>
            <w:tcW w:type="dxa" w:w="3135"/>
            <w:vAlign w:val="center"/>
            <w:shd w:fill="FFFFFF"/>
          </w:tcPr>
          <w:p>
            <w:pPr>
              <w:spacing w:after="20" w:before="20"/>
              <w:jc w:val="left"/>
            </w:pPr>
            <w:r>
              <w:rPr>
                <w:rFonts w:ascii="Arial" w:hAnsi="Arial"/>
                <w:color w:val="000000"/>
                <w:sz w:val="18"/>
              </w:rPr>
              <w:t>Correo, dominio y auxiliares</w:t>
            </w:r>
          </w:p>
        </w:tc>
        <w:tc>
          <w:tcPr>
            <w:tcW w:type="dxa" w:w="3135"/>
            <w:vAlign w:val="center"/>
            <w:shd w:fill="FFFFFF"/>
          </w:tcPr>
          <w:p>
            <w:pPr>
              <w:spacing w:after="20" w:before="20"/>
              <w:jc w:val="left"/>
            </w:pPr>
            <w:r>
              <w:rPr>
                <w:rFonts w:ascii="Arial" w:hAnsi="Arial"/>
                <w:color w:val="000000"/>
                <w:sz w:val="18"/>
              </w:rPr>
              <w:t>10,00</w:t>
            </w:r>
          </w:p>
        </w:tc>
        <w:tc>
          <w:tcPr>
            <w:tcW w:type="dxa" w:w="3135"/>
            <w:vAlign w:val="center"/>
            <w:shd w:fill="FFFFFF"/>
          </w:tcPr>
          <w:p>
            <w:pPr>
              <w:spacing w:after="20" w:before="20"/>
              <w:jc w:val="left"/>
            </w:pPr>
            <w:r>
              <w:rPr>
                <w:rFonts w:ascii="Arial" w:hAnsi="Arial"/>
                <w:color w:val="000000"/>
                <w:sz w:val="18"/>
              </w:rPr>
              <w:t>Reserva ilustrativa</w:t>
            </w:r>
          </w:p>
        </w:tc>
      </w:tr>
      <w:tr>
        <w:tc>
          <w:tcPr>
            <w:tcW w:type="dxa" w:w="3135"/>
            <w:vAlign w:val="center"/>
            <w:shd w:fill="FFFFFF"/>
          </w:tcPr>
          <w:p>
            <w:pPr>
              <w:spacing w:after="20" w:before="20"/>
              <w:jc w:val="left"/>
            </w:pPr>
            <w:r>
              <w:rPr>
                <w:rFonts w:ascii="Arial" w:hAnsi="Arial"/>
                <w:color w:val="000000"/>
                <w:sz w:val="18"/>
              </w:rPr>
              <w:t>Subtotal</w:t>
            </w:r>
          </w:p>
        </w:tc>
        <w:tc>
          <w:tcPr>
            <w:tcW w:type="dxa" w:w="3135"/>
            <w:vAlign w:val="center"/>
            <w:shd w:fill="FFFFFF"/>
          </w:tcPr>
          <w:p>
            <w:pPr>
              <w:spacing w:after="20" w:before="20"/>
              <w:jc w:val="left"/>
            </w:pPr>
            <w:r>
              <w:rPr>
                <w:rFonts w:ascii="Arial" w:hAnsi="Arial"/>
                <w:color w:val="000000"/>
                <w:sz w:val="18"/>
              </w:rPr>
              <w:t>187,40</w:t>
            </w:r>
          </w:p>
        </w:tc>
        <w:tc>
          <w:tcPr>
            <w:tcW w:type="dxa" w:w="3135"/>
            <w:vAlign w:val="center"/>
            <w:shd w:fill="FFFFFF"/>
          </w:tcPr>
          <w:p>
            <w:pPr>
              <w:spacing w:after="20" w:before="20"/>
              <w:jc w:val="left"/>
            </w:pPr>
            <w:r>
              <w:rPr>
                <w:rFonts w:ascii="Arial" w:hAnsi="Arial"/>
                <w:color w:val="000000"/>
                <w:sz w:val="18"/>
              </w:rPr>
              <w:t>No incluye todo el costo empresa</w:t>
            </w:r>
          </w:p>
        </w:tc>
      </w:tr>
      <w:tr>
        <w:tc>
          <w:tcPr>
            <w:tcW w:type="dxa" w:w="3135"/>
            <w:vAlign w:val="center"/>
            <w:shd w:fill="FFFFFF"/>
          </w:tcPr>
          <w:p>
            <w:pPr>
              <w:spacing w:after="20" w:before="20"/>
              <w:jc w:val="left"/>
            </w:pPr>
            <w:r>
              <w:rPr>
                <w:rFonts w:ascii="Arial" w:hAnsi="Arial"/>
                <w:color w:val="000000"/>
                <w:sz w:val="18"/>
              </w:rPr>
              <w:t>Contingencia 20%</w:t>
            </w:r>
          </w:p>
        </w:tc>
        <w:tc>
          <w:tcPr>
            <w:tcW w:type="dxa" w:w="3135"/>
            <w:vAlign w:val="center"/>
            <w:shd w:fill="FFFFFF"/>
          </w:tcPr>
          <w:p>
            <w:pPr>
              <w:spacing w:after="20" w:before="20"/>
              <w:jc w:val="left"/>
            </w:pPr>
            <w:r>
              <w:rPr>
                <w:rFonts w:ascii="Arial" w:hAnsi="Arial"/>
                <w:color w:val="000000"/>
                <w:sz w:val="18"/>
              </w:rPr>
              <w:t>37,48</w:t>
            </w:r>
          </w:p>
        </w:tc>
        <w:tc>
          <w:tcPr>
            <w:tcW w:type="dxa" w:w="3135"/>
            <w:vAlign w:val="center"/>
            <w:shd w:fill="FFFFFF"/>
          </w:tcPr>
          <w:p>
            <w:pPr>
              <w:spacing w:after="20" w:before="20"/>
              <w:jc w:val="left"/>
            </w:pPr>
            <w:r>
              <w:rPr>
                <w:rFonts w:ascii="Arial" w:hAnsi="Arial"/>
                <w:color w:val="000000"/>
                <w:sz w:val="18"/>
              </w:rPr>
              <w:t>Provisión</w:t>
            </w:r>
          </w:p>
        </w:tc>
      </w:tr>
      <w:tr>
        <w:tc>
          <w:tcPr>
            <w:tcW w:type="dxa" w:w="3135"/>
            <w:vAlign w:val="center"/>
            <w:shd w:fill="FFFFFF"/>
          </w:tcPr>
          <w:p>
            <w:pPr>
              <w:spacing w:after="20" w:before="20"/>
              <w:jc w:val="left"/>
            </w:pPr>
            <w:r>
              <w:rPr>
                <w:rFonts w:ascii="Arial" w:hAnsi="Arial"/>
                <w:color w:val="000000"/>
                <w:sz w:val="18"/>
              </w:rPr>
              <w:t>TOTAL MENSUAL ILUSTRATIVO</w:t>
            </w:r>
          </w:p>
        </w:tc>
        <w:tc>
          <w:tcPr>
            <w:tcW w:type="dxa" w:w="3135"/>
            <w:vAlign w:val="center"/>
            <w:shd w:fill="FFFFFF"/>
          </w:tcPr>
          <w:p>
            <w:pPr>
              <w:spacing w:after="20" w:before="20"/>
              <w:jc w:val="left"/>
            </w:pPr>
            <w:r>
              <w:rPr>
                <w:rFonts w:ascii="Arial" w:hAnsi="Arial"/>
                <w:color w:val="000000"/>
                <w:sz w:val="18"/>
              </w:rPr>
              <w:t>224,88</w:t>
            </w:r>
          </w:p>
        </w:tc>
        <w:tc>
          <w:tcPr>
            <w:tcW w:type="dxa" w:w="3135"/>
            <w:vAlign w:val="center"/>
            <w:shd w:fill="FFFFFF"/>
          </w:tcPr>
          <w:p>
            <w:pPr>
              <w:spacing w:after="20" w:before="20"/>
              <w:jc w:val="left"/>
            </w:pPr>
            <w:r>
              <w:rPr>
                <w:rFonts w:ascii="Arial" w:hAnsi="Arial"/>
                <w:color w:val="000000"/>
                <w:sz w:val="18"/>
              </w:rPr>
              <w:t>USD, NO cotización final</w:t>
            </w:r>
          </w:p>
        </w:tc>
      </w:tr>
    </w:tbl>
    <w:p>
      <w:pPr>
        <w:spacing w:after="0"/>
        <w:jc w:val="both"/>
      </w:pPr>
    </w:p>
    <w:p>
      <w:pPr>
        <w:jc w:val="both"/>
      </w:pPr>
      <w:r>
        <w:rPr>
          <w:rFonts w:ascii="Arial" w:hAnsi="Arial"/>
          <w:color w:val="000000"/>
          <w:sz w:val="21"/>
        </w:rPr>
        <w:t>El total en dólares se utiliza solo para evaluar orden de magnitud. Antes de contratar debe convertirse a CLP con tipo de cambio vigente, verificar impuestos y facturación, soporte, capacidad de los planes, backup completo, ubicación de datos y posibles recursos de alta disponibilidad. La provisión operativa de $300.000 CLP/mes debe revisarse si estos valores la superan.</w:t>
      </w:r>
    </w:p>
    <w:p>
      <w:pPr>
        <w:jc w:val="both"/>
      </w:pPr>
      <w:r>
        <w:rPr>
          <w:rFonts w:ascii="Arial" w:hAnsi="Arial"/>
          <w:color w:val="000000"/>
          <w:sz w:val="21"/>
        </w:rPr>
        <w:t>Referencias de proveedor sujetas a reconfirmación en la fecha de compra: digitalocean.com/pricing/droplets; docs.digitalocean.com/products/databases/mysql/details/pricing/; digitalocean.com/pricing/spaces-object-storage; docs.digitalocean.com/products/droplets/how-to/backups/; ai.google.dev/gemini-api/docs/pricing.</w:t>
      </w:r>
    </w:p>
    <w:p>
      <w:pPr>
        <w:pStyle w:val="Heading1"/>
        <w:spacing w:before="200" w:after="100"/>
        <w:jc w:val="left"/>
      </w:pPr>
      <w:r>
        <w:rPr>
          <w:rFonts w:ascii="Arial" w:hAnsi="Arial"/>
          <w:color w:val="000000"/>
        </w:rPr>
        <w:t>5. Modelo SaaS municipal: propuesta comercial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FFFFFF"/>
          </w:tcPr>
          <w:p>
            <w:pPr>
              <w:spacing w:after="20" w:before="20"/>
              <w:jc w:val="left"/>
            </w:pPr>
            <w:r>
              <w:rPr>
                <w:rFonts w:ascii="Arial" w:hAnsi="Arial"/>
                <w:b/>
                <w:color w:val="000000"/>
                <w:sz w:val="18"/>
              </w:rPr>
              <w:t>Concepto</w:t>
            </w:r>
          </w:p>
        </w:tc>
        <w:tc>
          <w:tcPr>
            <w:tcW w:type="dxa" w:w="2351"/>
            <w:vAlign w:val="center"/>
            <w:shd w:fill="FFFFFF"/>
          </w:tcPr>
          <w:p>
            <w:pPr>
              <w:spacing w:after="20" w:before="20"/>
              <w:jc w:val="left"/>
            </w:pPr>
            <w:r>
              <w:rPr>
                <w:rFonts w:ascii="Arial" w:hAnsi="Arial"/>
                <w:b/>
                <w:color w:val="000000"/>
                <w:sz w:val="18"/>
              </w:rPr>
              <w:t>Neto (CLP)</w:t>
            </w:r>
          </w:p>
        </w:tc>
        <w:tc>
          <w:tcPr>
            <w:tcW w:type="dxa" w:w="2351"/>
            <w:vAlign w:val="center"/>
            <w:shd w:fill="FFFFFF"/>
          </w:tcPr>
          <w:p>
            <w:pPr>
              <w:spacing w:after="20" w:before="20"/>
              <w:jc w:val="left"/>
            </w:pPr>
            <w:r>
              <w:rPr>
                <w:rFonts w:ascii="Arial" w:hAnsi="Arial"/>
                <w:b/>
                <w:color w:val="000000"/>
                <w:sz w:val="18"/>
              </w:rPr>
              <w:t>IVA incluido 19%</w:t>
            </w:r>
          </w:p>
        </w:tc>
        <w:tc>
          <w:tcPr>
            <w:tcW w:type="dxa" w:w="2351"/>
            <w:vAlign w:val="center"/>
            <w:shd w:fill="FFFFFF"/>
          </w:tcPr>
          <w:p>
            <w:pPr>
              <w:spacing w:after="20" w:before="20"/>
              <w:jc w:val="left"/>
            </w:pPr>
            <w:r>
              <w:rPr>
                <w:rFonts w:ascii="Arial" w:hAnsi="Arial"/>
                <w:b/>
                <w:color w:val="000000"/>
                <w:sz w:val="18"/>
              </w:rPr>
              <w:t>Condición</w:t>
            </w:r>
          </w:p>
        </w:tc>
      </w:tr>
      <w:tr>
        <w:tc>
          <w:tcPr>
            <w:tcW w:type="dxa" w:w="2351"/>
            <w:vAlign w:val="center"/>
            <w:shd w:fill="FFFFFF"/>
          </w:tcPr>
          <w:p>
            <w:pPr>
              <w:spacing w:after="20" w:before="20"/>
              <w:jc w:val="left"/>
            </w:pPr>
            <w:r>
              <w:rPr>
                <w:rFonts w:ascii="Arial" w:hAnsi="Arial"/>
                <w:color w:val="000000"/>
                <w:sz w:val="18"/>
              </w:rPr>
              <w:t>Suscripción municipal / mes</w:t>
            </w:r>
          </w:p>
        </w:tc>
        <w:tc>
          <w:tcPr>
            <w:tcW w:type="dxa" w:w="2351"/>
            <w:vAlign w:val="center"/>
            <w:shd w:fill="FFFFFF"/>
          </w:tcPr>
          <w:p>
            <w:pPr>
              <w:spacing w:after="20" w:before="20"/>
              <w:jc w:val="left"/>
            </w:pPr>
            <w:r>
              <w:rPr>
                <w:rFonts w:ascii="Arial" w:hAnsi="Arial"/>
                <w:color w:val="000000"/>
                <w:sz w:val="18"/>
              </w:rPr>
              <w:t>$1.200.000</w:t>
            </w:r>
          </w:p>
        </w:tc>
        <w:tc>
          <w:tcPr>
            <w:tcW w:type="dxa" w:w="2351"/>
            <w:vAlign w:val="center"/>
            <w:shd w:fill="FFFFFF"/>
          </w:tcPr>
          <w:p>
            <w:pPr>
              <w:spacing w:after="20" w:before="20"/>
              <w:jc w:val="left"/>
            </w:pPr>
            <w:r>
              <w:rPr>
                <w:rFonts w:ascii="Arial" w:hAnsi="Arial"/>
                <w:color w:val="000000"/>
                <w:sz w:val="18"/>
              </w:rPr>
              <w:t>$1.428.000</w:t>
            </w:r>
          </w:p>
        </w:tc>
        <w:tc>
          <w:tcPr>
            <w:tcW w:type="dxa" w:w="2351"/>
            <w:vAlign w:val="center"/>
            <w:shd w:fill="FFFFFF"/>
          </w:tcPr>
          <w:p>
            <w:pPr>
              <w:spacing w:after="20" w:before="20"/>
              <w:jc w:val="left"/>
            </w:pPr>
            <w:r>
              <w:rPr>
                <w:rFonts w:ascii="Arial" w:hAnsi="Arial"/>
                <w:color w:val="000000"/>
                <w:sz w:val="18"/>
              </w:rPr>
              <w:t>Contrato y alcance por definir</w:t>
            </w:r>
          </w:p>
        </w:tc>
      </w:tr>
      <w:tr>
        <w:tc>
          <w:tcPr>
            <w:tcW w:type="dxa" w:w="2351"/>
            <w:vAlign w:val="center"/>
            <w:shd w:fill="FFFFFF"/>
          </w:tcPr>
          <w:p>
            <w:pPr>
              <w:spacing w:after="20" w:before="20"/>
              <w:jc w:val="left"/>
            </w:pPr>
            <w:r>
              <w:rPr>
                <w:rFonts w:ascii="Arial" w:hAnsi="Arial"/>
                <w:color w:val="000000"/>
                <w:sz w:val="18"/>
              </w:rPr>
              <w:t>Alta de junta / única vez</w:t>
            </w:r>
          </w:p>
        </w:tc>
        <w:tc>
          <w:tcPr>
            <w:tcW w:type="dxa" w:w="2351"/>
            <w:vAlign w:val="center"/>
            <w:shd w:fill="FFFFFF"/>
          </w:tcPr>
          <w:p>
            <w:pPr>
              <w:spacing w:after="20" w:before="20"/>
              <w:jc w:val="left"/>
            </w:pPr>
            <w:r>
              <w:rPr>
                <w:rFonts w:ascii="Arial" w:hAnsi="Arial"/>
                <w:color w:val="000000"/>
                <w:sz w:val="18"/>
              </w:rPr>
              <w:t>$350.000</w:t>
            </w:r>
          </w:p>
        </w:tc>
        <w:tc>
          <w:tcPr>
            <w:tcW w:type="dxa" w:w="2351"/>
            <w:vAlign w:val="center"/>
            <w:shd w:fill="FFFFFF"/>
          </w:tcPr>
          <w:p>
            <w:pPr>
              <w:spacing w:after="20" w:before="20"/>
              <w:jc w:val="left"/>
            </w:pPr>
            <w:r>
              <w:rPr>
                <w:rFonts w:ascii="Arial" w:hAnsi="Arial"/>
                <w:color w:val="000000"/>
                <w:sz w:val="18"/>
              </w:rPr>
              <w:t>$416.500</w:t>
            </w:r>
          </w:p>
        </w:tc>
        <w:tc>
          <w:tcPr>
            <w:tcW w:type="dxa" w:w="2351"/>
            <w:vAlign w:val="center"/>
            <w:shd w:fill="FFFFFF"/>
          </w:tcPr>
          <w:p>
            <w:pPr>
              <w:spacing w:after="20" w:before="20"/>
              <w:jc w:val="left"/>
            </w:pPr>
            <w:r>
              <w:rPr>
                <w:rFonts w:ascii="Arial" w:hAnsi="Arial"/>
                <w:color w:val="000000"/>
                <w:sz w:val="18"/>
              </w:rPr>
              <w:t>Configuración, pruebas y capacitación</w:t>
            </w:r>
          </w:p>
        </w:tc>
      </w:tr>
      <w:tr>
        <w:tc>
          <w:tcPr>
            <w:tcW w:type="dxa" w:w="2351"/>
            <w:vAlign w:val="center"/>
            <w:shd w:fill="FFFFFF"/>
          </w:tcPr>
          <w:p>
            <w:pPr>
              <w:spacing w:after="20" w:before="20"/>
              <w:jc w:val="left"/>
            </w:pPr>
            <w:r>
              <w:rPr>
                <w:rFonts w:ascii="Arial" w:hAnsi="Arial"/>
                <w:color w:val="000000"/>
                <w:sz w:val="18"/>
              </w:rPr>
              <w:t>Junta adicional / mes</w:t>
            </w:r>
          </w:p>
        </w:tc>
        <w:tc>
          <w:tcPr>
            <w:tcW w:type="dxa" w:w="2351"/>
            <w:vAlign w:val="center"/>
            <w:shd w:fill="FFFFFF"/>
          </w:tcPr>
          <w:p>
            <w:pPr>
              <w:spacing w:after="20" w:before="20"/>
              <w:jc w:val="left"/>
            </w:pPr>
            <w:r>
              <w:rPr>
                <w:rFonts w:ascii="Arial" w:hAnsi="Arial"/>
                <w:color w:val="000000"/>
                <w:sz w:val="18"/>
              </w:rPr>
              <w:t>$30.000</w:t>
            </w:r>
          </w:p>
        </w:tc>
        <w:tc>
          <w:tcPr>
            <w:tcW w:type="dxa" w:w="2351"/>
            <w:vAlign w:val="center"/>
            <w:shd w:fill="FFFFFF"/>
          </w:tcPr>
          <w:p>
            <w:pPr>
              <w:spacing w:after="20" w:before="20"/>
              <w:jc w:val="left"/>
            </w:pPr>
            <w:r>
              <w:rPr>
                <w:rFonts w:ascii="Arial" w:hAnsi="Arial"/>
                <w:color w:val="000000"/>
                <w:sz w:val="18"/>
              </w:rPr>
              <w:t>$35.700</w:t>
            </w:r>
          </w:p>
        </w:tc>
        <w:tc>
          <w:tcPr>
            <w:tcW w:type="dxa" w:w="2351"/>
            <w:vAlign w:val="center"/>
            <w:shd w:fill="FFFFFF"/>
          </w:tcPr>
          <w:p>
            <w:pPr>
              <w:spacing w:after="20" w:before="20"/>
              <w:jc w:val="left"/>
            </w:pPr>
            <w:r>
              <w:rPr>
                <w:rFonts w:ascii="Arial" w:hAnsi="Arial"/>
                <w:color w:val="000000"/>
                <w:sz w:val="18"/>
              </w:rPr>
              <w:t>HIPÓTESIS; sobre cupo incluido</w:t>
            </w:r>
          </w:p>
        </w:tc>
      </w:tr>
      <w:tr>
        <w:tc>
          <w:tcPr>
            <w:tcW w:type="dxa" w:w="2351"/>
            <w:vAlign w:val="center"/>
            <w:shd w:fill="FFFFFF"/>
          </w:tcPr>
          <w:p>
            <w:pPr>
              <w:spacing w:after="20" w:before="20"/>
              <w:jc w:val="left"/>
            </w:pPr>
            <w:r>
              <w:rPr>
                <w:rFonts w:ascii="Arial" w:hAnsi="Arial"/>
                <w:color w:val="000000"/>
                <w:sz w:val="18"/>
              </w:rPr>
              <w:t>Uso excepcional de IA, almacenamiento o soporte</w:t>
            </w:r>
          </w:p>
        </w:tc>
        <w:tc>
          <w:tcPr>
            <w:tcW w:type="dxa" w:w="2351"/>
            <w:vAlign w:val="center"/>
            <w:shd w:fill="FFFFFF"/>
          </w:tcPr>
          <w:p>
            <w:pPr>
              <w:spacing w:after="20" w:before="20"/>
              <w:jc w:val="left"/>
            </w:pPr>
            <w:r>
              <w:rPr>
                <w:rFonts w:ascii="Arial" w:hAnsi="Arial"/>
                <w:color w:val="000000"/>
                <w:sz w:val="18"/>
              </w:rPr>
              <w:t>Por cotizar</w:t>
            </w:r>
          </w:p>
        </w:tc>
        <w:tc>
          <w:tcPr>
            <w:tcW w:type="dxa" w:w="2351"/>
            <w:vAlign w:val="center"/>
            <w:shd w:fill="FFFFFF"/>
          </w:tcPr>
          <w:p>
            <w:pPr>
              <w:spacing w:after="20" w:before="20"/>
              <w:jc w:val="left"/>
            </w:pPr>
            <w:r>
              <w:rPr>
                <w:rFonts w:ascii="Arial" w:hAnsi="Arial"/>
                <w:color w:val="000000"/>
                <w:sz w:val="18"/>
              </w:rPr>
              <w:t>Según tarifa</w:t>
            </w:r>
          </w:p>
        </w:tc>
        <w:tc>
          <w:tcPr>
            <w:tcW w:type="dxa" w:w="2351"/>
            <w:vAlign w:val="center"/>
            <w:shd w:fill="FFFFFF"/>
          </w:tcPr>
          <w:p>
            <w:pPr>
              <w:spacing w:after="20" w:before="20"/>
              <w:jc w:val="left"/>
            </w:pPr>
            <w:r>
              <w:rPr>
                <w:rFonts w:ascii="Arial" w:hAnsi="Arial"/>
                <w:color w:val="000000"/>
                <w:sz w:val="18"/>
              </w:rPr>
              <w:t>Solo si se excede límite pactado</w:t>
            </w:r>
          </w:p>
        </w:tc>
      </w:tr>
    </w:tbl>
    <w:p>
      <w:pPr>
        <w:spacing w:after="0"/>
        <w:jc w:val="both"/>
      </w:pPr>
    </w:p>
    <w:p>
      <w:pPr>
        <w:jc w:val="both"/>
      </w:pPr>
      <w:r>
        <w:rPr>
          <w:rFonts w:ascii="Arial" w:hAnsi="Arial"/>
          <w:color w:val="000000"/>
          <w:sz w:val="21"/>
        </w:rPr>
        <w:t>Caso de estudio: hasta diez juntas incluidas por municipio, sujeto a pruebas técnicas y costeos. La incorporación inicial sigue cobrándose por cada junta aunque esté dentro de las diez incluidas: el cargo único financia puesta en marcha y capacitación; la mensualidad financia operación. Para evitar confusiones, esta condición debe quedar explícita en la oferta.</w:t>
      </w:r>
    </w:p>
    <w:p>
      <w:pPr>
        <w:jc w:val="both"/>
      </w:pPr>
      <w:r>
        <w:rPr>
          <w:rFonts w:ascii="Arial" w:hAnsi="Arial"/>
          <w:color w:val="000000"/>
          <w:sz w:val="21"/>
        </w:rPr>
        <w:t>Se deben definir cuotas independientes de juntas, usuarios activos, documentos/GB, consultas y tokens de IA, tickets y horas de soporte. El cargo extra de $30.000/mes no debe fijarse hasta medir el costo incremental de cada junta y comprobar margen suficiente.</w:t>
      </w:r>
    </w:p>
    <w:p>
      <w:pPr>
        <w:pStyle w:val="Heading1"/>
        <w:spacing w:before="200" w:after="100"/>
        <w:jc w:val="left"/>
      </w:pPr>
      <w:r>
        <w:rPr>
          <w:rFonts w:ascii="Arial" w:hAnsi="Arial"/>
          <w:color w:val="000000"/>
        </w:rPr>
        <w:t>6. Costo de operación y margen SaaS: un municipio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FFFFFF"/>
          </w:tcPr>
          <w:p>
            <w:pPr>
              <w:spacing w:after="20" w:before="20"/>
              <w:jc w:val="left"/>
            </w:pPr>
            <w:r>
              <w:rPr>
                <w:rFonts w:ascii="Arial" w:hAnsi="Arial"/>
                <w:b/>
                <w:color w:val="000000"/>
                <w:sz w:val="18"/>
              </w:rPr>
              <w:t>Concepto</w:t>
            </w:r>
          </w:p>
        </w:tc>
        <w:tc>
          <w:tcPr>
            <w:tcW w:type="dxa" w:w="3135"/>
            <w:vAlign w:val="center"/>
            <w:shd w:fill="FFFFFF"/>
          </w:tcPr>
          <w:p>
            <w:pPr>
              <w:spacing w:after="20" w:before="20"/>
              <w:jc w:val="left"/>
            </w:pPr>
            <w:r>
              <w:rPr>
                <w:rFonts w:ascii="Arial" w:hAnsi="Arial"/>
                <w:b/>
                <w:color w:val="000000"/>
                <w:sz w:val="18"/>
              </w:rPr>
              <w:t>Base</w:t>
            </w:r>
          </w:p>
        </w:tc>
        <w:tc>
          <w:tcPr>
            <w:tcW w:type="dxa" w:w="3135"/>
            <w:vAlign w:val="center"/>
            <w:shd w:fill="FFFFFF"/>
          </w:tcPr>
          <w:p>
            <w:pPr>
              <w:spacing w:after="20" w:before="20"/>
              <w:jc w:val="left"/>
            </w:pPr>
            <w:r>
              <w:rPr>
                <w:rFonts w:ascii="Arial" w:hAnsi="Arial"/>
                <w:b/>
                <w:color w:val="000000"/>
                <w:sz w:val="18"/>
              </w:rPr>
              <w:t>Costo neto/mes</w:t>
            </w:r>
          </w:p>
        </w:tc>
      </w:tr>
      <w:tr>
        <w:tc>
          <w:tcPr>
            <w:tcW w:type="dxa" w:w="3135"/>
            <w:vAlign w:val="center"/>
            <w:shd w:fill="FFFFFF"/>
          </w:tcPr>
          <w:p>
            <w:pPr>
              <w:spacing w:after="20" w:before="20"/>
              <w:jc w:val="left"/>
            </w:pPr>
            <w:r>
              <w:rPr>
                <w:rFonts w:ascii="Arial" w:hAnsi="Arial"/>
                <w:color w:val="000000"/>
                <w:sz w:val="18"/>
              </w:rPr>
              <w:t>Mesa de ayuda y correctivos</w:t>
            </w:r>
          </w:p>
        </w:tc>
        <w:tc>
          <w:tcPr>
            <w:tcW w:type="dxa" w:w="3135"/>
            <w:vAlign w:val="center"/>
            <w:shd w:fill="FFFFFF"/>
          </w:tcPr>
          <w:p>
            <w:pPr>
              <w:spacing w:after="20" w:before="20"/>
              <w:jc w:val="left"/>
            </w:pPr>
            <w:r>
              <w:rPr>
                <w:rFonts w:ascii="Arial" w:hAnsi="Arial"/>
                <w:color w:val="000000"/>
                <w:sz w:val="18"/>
              </w:rPr>
              <w:t>8 h × $25.000</w:t>
            </w:r>
          </w:p>
        </w:tc>
        <w:tc>
          <w:tcPr>
            <w:tcW w:type="dxa" w:w="3135"/>
            <w:vAlign w:val="center"/>
            <w:shd w:fill="FFFFFF"/>
          </w:tcPr>
          <w:p>
            <w:pPr>
              <w:spacing w:after="20" w:before="20"/>
              <w:jc w:val="left"/>
            </w:pPr>
            <w:r>
              <w:rPr>
                <w:rFonts w:ascii="Arial" w:hAnsi="Arial"/>
                <w:color w:val="000000"/>
                <w:sz w:val="18"/>
              </w:rPr>
              <w:t>$200.000</w:t>
            </w:r>
          </w:p>
        </w:tc>
      </w:tr>
      <w:tr>
        <w:tc>
          <w:tcPr>
            <w:tcW w:type="dxa" w:w="3135"/>
            <w:vAlign w:val="center"/>
            <w:shd w:fill="FFFFFF"/>
          </w:tcPr>
          <w:p>
            <w:pPr>
              <w:spacing w:after="20" w:before="20"/>
              <w:jc w:val="left"/>
            </w:pPr>
            <w:r>
              <w:rPr>
                <w:rFonts w:ascii="Arial" w:hAnsi="Arial"/>
                <w:color w:val="000000"/>
                <w:sz w:val="18"/>
              </w:rPr>
              <w:t>Administración y facturación</w:t>
            </w:r>
          </w:p>
        </w:tc>
        <w:tc>
          <w:tcPr>
            <w:tcW w:type="dxa" w:w="3135"/>
            <w:vAlign w:val="center"/>
            <w:shd w:fill="FFFFFF"/>
          </w:tcPr>
          <w:p>
            <w:pPr>
              <w:spacing w:after="20" w:before="20"/>
              <w:jc w:val="left"/>
            </w:pPr>
            <w:r>
              <w:rPr>
                <w:rFonts w:ascii="Arial" w:hAnsi="Arial"/>
                <w:color w:val="000000"/>
                <w:sz w:val="18"/>
              </w:rPr>
              <w:t>3 h × $25.000</w:t>
            </w:r>
          </w:p>
        </w:tc>
        <w:tc>
          <w:tcPr>
            <w:tcW w:type="dxa" w:w="3135"/>
            <w:vAlign w:val="center"/>
            <w:shd w:fill="FFFFFF"/>
          </w:tcPr>
          <w:p>
            <w:pPr>
              <w:spacing w:after="20" w:before="20"/>
              <w:jc w:val="left"/>
            </w:pPr>
            <w:r>
              <w:rPr>
                <w:rFonts w:ascii="Arial" w:hAnsi="Arial"/>
                <w:color w:val="000000"/>
                <w:sz w:val="18"/>
              </w:rPr>
              <w:t>$75.000</w:t>
            </w:r>
          </w:p>
        </w:tc>
      </w:tr>
      <w:tr>
        <w:tc>
          <w:tcPr>
            <w:tcW w:type="dxa" w:w="3135"/>
            <w:vAlign w:val="center"/>
            <w:shd w:fill="FFFFFF"/>
          </w:tcPr>
          <w:p>
            <w:pPr>
              <w:spacing w:after="20" w:before="20"/>
              <w:jc w:val="left"/>
            </w:pPr>
            <w:r>
              <w:rPr>
                <w:rFonts w:ascii="Arial" w:hAnsi="Arial"/>
                <w:color w:val="000000"/>
                <w:sz w:val="18"/>
              </w:rPr>
              <w:t>Seguridad, pruebas y mejoras menores</w:t>
            </w:r>
          </w:p>
        </w:tc>
        <w:tc>
          <w:tcPr>
            <w:tcW w:type="dxa" w:w="3135"/>
            <w:vAlign w:val="center"/>
            <w:shd w:fill="FFFFFF"/>
          </w:tcPr>
          <w:p>
            <w:pPr>
              <w:spacing w:after="20" w:before="20"/>
              <w:jc w:val="left"/>
            </w:pPr>
            <w:r>
              <w:rPr>
                <w:rFonts w:ascii="Arial" w:hAnsi="Arial"/>
                <w:color w:val="000000"/>
                <w:sz w:val="18"/>
              </w:rPr>
              <w:t>3 h × $25.000</w:t>
            </w:r>
          </w:p>
        </w:tc>
        <w:tc>
          <w:tcPr>
            <w:tcW w:type="dxa" w:w="3135"/>
            <w:vAlign w:val="center"/>
            <w:shd w:fill="FFFFFF"/>
          </w:tcPr>
          <w:p>
            <w:pPr>
              <w:spacing w:after="20" w:before="20"/>
              <w:jc w:val="left"/>
            </w:pPr>
            <w:r>
              <w:rPr>
                <w:rFonts w:ascii="Arial" w:hAnsi="Arial"/>
                <w:color w:val="000000"/>
                <w:sz w:val="18"/>
              </w:rPr>
              <w:t>$75.000</w:t>
            </w:r>
          </w:p>
        </w:tc>
      </w:tr>
      <w:tr>
        <w:tc>
          <w:tcPr>
            <w:tcW w:type="dxa" w:w="3135"/>
            <w:vAlign w:val="center"/>
            <w:shd w:fill="FFFFFF"/>
          </w:tcPr>
          <w:p>
            <w:pPr>
              <w:spacing w:after="20" w:before="20"/>
              <w:jc w:val="left"/>
            </w:pPr>
            <w:r>
              <w:rPr>
                <w:rFonts w:ascii="Arial" w:hAnsi="Arial"/>
                <w:color w:val="000000"/>
                <w:sz w:val="18"/>
              </w:rPr>
              <w:t>Reserva de incidentes / contingencia</w:t>
            </w:r>
          </w:p>
        </w:tc>
        <w:tc>
          <w:tcPr>
            <w:tcW w:type="dxa" w:w="3135"/>
            <w:vAlign w:val="center"/>
            <w:shd w:fill="FFFFFF"/>
          </w:tcPr>
          <w:p>
            <w:pPr>
              <w:spacing w:after="20" w:before="20"/>
              <w:jc w:val="left"/>
            </w:pPr>
            <w:r>
              <w:rPr>
                <w:rFonts w:ascii="Arial" w:hAnsi="Arial"/>
                <w:color w:val="000000"/>
                <w:sz w:val="18"/>
              </w:rPr>
              <w:t>Provisión</w:t>
            </w:r>
          </w:p>
        </w:tc>
        <w:tc>
          <w:tcPr>
            <w:tcW w:type="dxa" w:w="3135"/>
            <w:vAlign w:val="center"/>
            <w:shd w:fill="FFFFFF"/>
          </w:tcPr>
          <w:p>
            <w:pPr>
              <w:spacing w:after="20" w:before="20"/>
              <w:jc w:val="left"/>
            </w:pPr>
            <w:r>
              <w:rPr>
                <w:rFonts w:ascii="Arial" w:hAnsi="Arial"/>
                <w:color w:val="000000"/>
                <w:sz w:val="18"/>
              </w:rPr>
              <w:t>$85.000</w:t>
            </w:r>
          </w:p>
        </w:tc>
      </w:tr>
      <w:tr>
        <w:tc>
          <w:tcPr>
            <w:tcW w:type="dxa" w:w="3135"/>
            <w:vAlign w:val="center"/>
            <w:shd w:fill="FFFFFF"/>
          </w:tcPr>
          <w:p>
            <w:pPr>
              <w:spacing w:after="20" w:before="20"/>
              <w:jc w:val="left"/>
            </w:pPr>
            <w:r>
              <w:rPr>
                <w:rFonts w:ascii="Arial" w:hAnsi="Arial"/>
                <w:color w:val="000000"/>
                <w:sz w:val="18"/>
              </w:rPr>
              <w:t>Operación por municipio</w:t>
            </w:r>
          </w:p>
        </w:tc>
        <w:tc>
          <w:tcPr>
            <w:tcW w:type="dxa" w:w="3135"/>
            <w:vAlign w:val="center"/>
            <w:shd w:fill="FFFFFF"/>
          </w:tcPr>
          <w:p>
            <w:pPr>
              <w:spacing w:after="20" w:before="20"/>
              <w:jc w:val="left"/>
            </w:pPr>
            <w:r>
              <w:rPr>
                <w:rFonts w:ascii="Arial" w:hAnsi="Arial"/>
                <w:color w:val="000000"/>
                <w:sz w:val="18"/>
              </w:rPr>
              <w:t>Subtotal</w:t>
            </w:r>
          </w:p>
        </w:tc>
        <w:tc>
          <w:tcPr>
            <w:tcW w:type="dxa" w:w="3135"/>
            <w:vAlign w:val="center"/>
            <w:shd w:fill="FFFFFF"/>
          </w:tcPr>
          <w:p>
            <w:pPr>
              <w:spacing w:after="20" w:before="20"/>
              <w:jc w:val="left"/>
            </w:pPr>
            <w:r>
              <w:rPr>
                <w:rFonts w:ascii="Arial" w:hAnsi="Arial"/>
                <w:color w:val="000000"/>
                <w:sz w:val="18"/>
              </w:rPr>
              <w:t>$435.000</w:t>
            </w:r>
          </w:p>
        </w:tc>
      </w:tr>
      <w:tr>
        <w:tc>
          <w:tcPr>
            <w:tcW w:type="dxa" w:w="3135"/>
            <w:vAlign w:val="center"/>
            <w:shd w:fill="FFFFFF"/>
          </w:tcPr>
          <w:p>
            <w:pPr>
              <w:spacing w:after="20" w:before="20"/>
              <w:jc w:val="left"/>
            </w:pPr>
            <w:r>
              <w:rPr>
                <w:rFonts w:ascii="Arial" w:hAnsi="Arial"/>
                <w:color w:val="000000"/>
                <w:sz w:val="18"/>
              </w:rPr>
              <w:t>Infraestructura compartida, primer cliente</w:t>
            </w:r>
          </w:p>
        </w:tc>
        <w:tc>
          <w:tcPr>
            <w:tcW w:type="dxa" w:w="3135"/>
            <w:vAlign w:val="center"/>
            <w:shd w:fill="FFFFFF"/>
          </w:tcPr>
          <w:p>
            <w:pPr>
              <w:spacing w:after="20" w:before="20"/>
              <w:jc w:val="left"/>
            </w:pPr>
            <w:r>
              <w:rPr>
                <w:rFonts w:ascii="Arial" w:hAnsi="Arial"/>
                <w:color w:val="000000"/>
                <w:sz w:val="18"/>
              </w:rPr>
              <w:t>Provisión premium</w:t>
            </w:r>
          </w:p>
        </w:tc>
        <w:tc>
          <w:tcPr>
            <w:tcW w:type="dxa" w:w="3135"/>
            <w:vAlign w:val="center"/>
            <w:shd w:fill="FFFFFF"/>
          </w:tcPr>
          <w:p>
            <w:pPr>
              <w:spacing w:after="20" w:before="20"/>
              <w:jc w:val="left"/>
            </w:pPr>
            <w:r>
              <w:rPr>
                <w:rFonts w:ascii="Arial" w:hAnsi="Arial"/>
                <w:color w:val="000000"/>
                <w:sz w:val="18"/>
              </w:rPr>
              <w:t>$300.000</w:t>
            </w:r>
          </w:p>
        </w:tc>
      </w:tr>
      <w:tr>
        <w:tc>
          <w:tcPr>
            <w:tcW w:type="dxa" w:w="3135"/>
            <w:vAlign w:val="center"/>
            <w:shd w:fill="FFFFFF"/>
          </w:tcPr>
          <w:p>
            <w:pPr>
              <w:spacing w:after="20" w:before="20"/>
              <w:jc w:val="left"/>
            </w:pPr>
            <w:r>
              <w:rPr>
                <w:rFonts w:ascii="Arial" w:hAnsi="Arial"/>
                <w:color w:val="000000"/>
                <w:sz w:val="18"/>
              </w:rPr>
              <w:t>Costo mensual presupuestado</w:t>
            </w:r>
          </w:p>
        </w:tc>
        <w:tc>
          <w:tcPr>
            <w:tcW w:type="dxa" w:w="3135"/>
            <w:vAlign w:val="center"/>
            <w:shd w:fill="FFFFFF"/>
          </w:tcPr>
          <w:p>
            <w:pPr>
              <w:spacing w:after="20" w:before="20"/>
              <w:jc w:val="left"/>
            </w:pPr>
            <w:r>
              <w:rPr>
                <w:rFonts w:ascii="Arial" w:hAnsi="Arial"/>
                <w:color w:val="000000"/>
                <w:sz w:val="18"/>
              </w:rPr>
              <w:t>435.000 + 300.000</w:t>
            </w:r>
          </w:p>
        </w:tc>
        <w:tc>
          <w:tcPr>
            <w:tcW w:type="dxa" w:w="3135"/>
            <w:vAlign w:val="center"/>
            <w:shd w:fill="FFFFFF"/>
          </w:tcPr>
          <w:p>
            <w:pPr>
              <w:spacing w:after="20" w:before="20"/>
              <w:jc w:val="left"/>
            </w:pPr>
            <w:r>
              <w:rPr>
                <w:rFonts w:ascii="Arial" w:hAnsi="Arial"/>
                <w:color w:val="000000"/>
                <w:sz w:val="18"/>
              </w:rPr>
              <w:t>$735.000</w:t>
            </w:r>
          </w:p>
        </w:tc>
      </w:tr>
      <w:tr>
        <w:tc>
          <w:tcPr>
            <w:tcW w:type="dxa" w:w="3135"/>
            <w:vAlign w:val="center"/>
            <w:shd w:fill="FFFFFF"/>
          </w:tcPr>
          <w:p>
            <w:pPr>
              <w:spacing w:after="20" w:before="20"/>
              <w:jc w:val="left"/>
            </w:pPr>
            <w:r>
              <w:rPr>
                <w:rFonts w:ascii="Arial" w:hAnsi="Arial"/>
                <w:color w:val="000000"/>
                <w:sz w:val="18"/>
              </w:rPr>
              <w:t>Ingreso mensual SaaS premium</w:t>
            </w:r>
          </w:p>
        </w:tc>
        <w:tc>
          <w:tcPr>
            <w:tcW w:type="dxa" w:w="3135"/>
            <w:vAlign w:val="center"/>
            <w:shd w:fill="FFFFFF"/>
          </w:tcPr>
          <w:p>
            <w:pPr>
              <w:spacing w:after="20" w:before="20"/>
              <w:jc w:val="left"/>
            </w:pPr>
            <w:r>
              <w:rPr>
                <w:rFonts w:ascii="Arial" w:hAnsi="Arial"/>
                <w:color w:val="000000"/>
                <w:sz w:val="18"/>
              </w:rPr>
              <w:t>Precio evaluado</w:t>
            </w:r>
          </w:p>
        </w:tc>
        <w:tc>
          <w:tcPr>
            <w:tcW w:type="dxa" w:w="3135"/>
            <w:vAlign w:val="center"/>
            <w:shd w:fill="FFFFFF"/>
          </w:tcPr>
          <w:p>
            <w:pPr>
              <w:spacing w:after="20" w:before="20"/>
              <w:jc w:val="left"/>
            </w:pPr>
            <w:r>
              <w:rPr>
                <w:rFonts w:ascii="Arial" w:hAnsi="Arial"/>
                <w:color w:val="000000"/>
                <w:sz w:val="18"/>
              </w:rPr>
              <w:t>$1.200.000</w:t>
            </w:r>
          </w:p>
        </w:tc>
      </w:tr>
      <w:tr>
        <w:tc>
          <w:tcPr>
            <w:tcW w:type="dxa" w:w="3135"/>
            <w:vAlign w:val="center"/>
            <w:shd w:fill="FFFFFF"/>
          </w:tcPr>
          <w:p>
            <w:pPr>
              <w:spacing w:after="20" w:before="20"/>
              <w:jc w:val="left"/>
            </w:pPr>
            <w:r>
              <w:rPr>
                <w:rFonts w:ascii="Arial" w:hAnsi="Arial"/>
                <w:color w:val="000000"/>
                <w:sz w:val="18"/>
              </w:rPr>
              <w:t>Margen de contribución antes de otros gastos</w:t>
            </w:r>
          </w:p>
        </w:tc>
        <w:tc>
          <w:tcPr>
            <w:tcW w:type="dxa" w:w="3135"/>
            <w:vAlign w:val="center"/>
            <w:shd w:fill="FFFFFF"/>
          </w:tcPr>
          <w:p>
            <w:pPr>
              <w:spacing w:after="20" w:before="20"/>
              <w:jc w:val="left"/>
            </w:pPr>
            <w:r>
              <w:rPr>
                <w:rFonts w:ascii="Arial" w:hAnsi="Arial"/>
                <w:color w:val="000000"/>
                <w:sz w:val="18"/>
              </w:rPr>
              <w:t>1.200.000 – 735.000</w:t>
            </w:r>
          </w:p>
        </w:tc>
        <w:tc>
          <w:tcPr>
            <w:tcW w:type="dxa" w:w="3135"/>
            <w:vAlign w:val="center"/>
            <w:shd w:fill="FFFFFF"/>
          </w:tcPr>
          <w:p>
            <w:pPr>
              <w:spacing w:after="20" w:before="20"/>
              <w:jc w:val="left"/>
            </w:pPr>
            <w:r>
              <w:rPr>
                <w:rFonts w:ascii="Arial" w:hAnsi="Arial"/>
                <w:color w:val="000000"/>
                <w:sz w:val="18"/>
              </w:rPr>
              <w:t>$465.000</w:t>
            </w:r>
          </w:p>
        </w:tc>
      </w:tr>
    </w:tbl>
    <w:p>
      <w:pPr>
        <w:spacing w:after="0"/>
        <w:jc w:val="both"/>
      </w:pPr>
    </w:p>
    <w:p>
      <w:pPr>
        <w:jc w:val="both"/>
      </w:pPr>
      <w:r>
        <w:rPr>
          <w:rFonts w:ascii="Arial" w:hAnsi="Arial"/>
          <w:color w:val="000000"/>
          <w:sz w:val="21"/>
        </w:rPr>
        <w:t>El margen estimado de $465.000 al mes no equivale a utilidad neta. No se ha acreditado que $25.000/h incorpore todos los costos laborales, ausencias, cobertura, costos comerciales, asesoría legal/contable y servicio 24/7. Tampoco representa recuperación automática del desarrollo; debe analizarse en flujo acumulado.</w:t>
      </w:r>
    </w:p>
    <w:p>
      <w:pPr>
        <w:pStyle w:val="Heading1"/>
        <w:spacing w:before="200" w:after="100"/>
        <w:jc w:val="left"/>
      </w:pPr>
      <w:r>
        <w:rPr>
          <w:rFonts w:ascii="Arial" w:hAnsi="Arial"/>
          <w:color w:val="000000"/>
        </w:rPr>
        <w:t>7. Simulación de escala de juntas y costos variables</w:t>
      </w:r>
    </w:p>
    <w:p>
      <w:pPr>
        <w:jc w:val="both"/>
      </w:pPr>
      <w:r>
        <w:rPr>
          <w:rFonts w:ascii="Arial" w:hAnsi="Arial"/>
          <w:color w:val="000000"/>
          <w:sz w:val="21"/>
        </w:rPr>
        <w:t>A falta de mediciones, se conserva un costo incremental EXCLUSIVAMENTE ILUSTRATIVO de $12.000/mes por junta que exceda las diez incluidas y se compara con el cargo propuesto de $30.000/mes. No se utiliza este ingreso en el flujo financiero trianual: faltan pruebas de carga, consumo de IA y tickets. El costo real podría ser mayor.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FFFFFF"/>
          </w:tcPr>
          <w:p>
            <w:pPr>
              <w:spacing w:after="20" w:before="20"/>
              <w:jc w:val="left"/>
            </w:pPr>
            <w:r>
              <w:rPr>
                <w:rFonts w:ascii="Arial" w:hAnsi="Arial"/>
                <w:b/>
                <w:color w:val="000000"/>
                <w:sz w:val="18"/>
              </w:rPr>
              <w:t>Juntas / municipio</w:t>
            </w:r>
          </w:p>
        </w:tc>
        <w:tc>
          <w:tcPr>
            <w:tcW w:type="dxa" w:w="1881"/>
            <w:vAlign w:val="center"/>
            <w:shd w:fill="FFFFFF"/>
          </w:tcPr>
          <w:p>
            <w:pPr>
              <w:spacing w:after="20" w:before="20"/>
              <w:jc w:val="left"/>
            </w:pPr>
            <w:r>
              <w:rPr>
                <w:rFonts w:ascii="Arial" w:hAnsi="Arial"/>
                <w:b/>
                <w:color w:val="000000"/>
                <w:sz w:val="18"/>
              </w:rPr>
              <w:t>Juntas facturadas extra</w:t>
            </w:r>
          </w:p>
        </w:tc>
        <w:tc>
          <w:tcPr>
            <w:tcW w:type="dxa" w:w="1881"/>
            <w:vAlign w:val="center"/>
            <w:shd w:fill="FFFFFF"/>
          </w:tcPr>
          <w:p>
            <w:pPr>
              <w:spacing w:after="20" w:before="20"/>
              <w:jc w:val="left"/>
            </w:pPr>
            <w:r>
              <w:rPr>
                <w:rFonts w:ascii="Arial" w:hAnsi="Arial"/>
                <w:b/>
                <w:color w:val="000000"/>
                <w:sz w:val="18"/>
              </w:rPr>
              <w:t>Ingreso SaaS mensual*</w:t>
            </w:r>
          </w:p>
        </w:tc>
        <w:tc>
          <w:tcPr>
            <w:tcW w:type="dxa" w:w="1881"/>
            <w:vAlign w:val="center"/>
            <w:shd w:fill="FFFFFF"/>
          </w:tcPr>
          <w:p>
            <w:pPr>
              <w:spacing w:after="20" w:before="20"/>
              <w:jc w:val="left"/>
            </w:pPr>
            <w:r>
              <w:rPr>
                <w:rFonts w:ascii="Arial" w:hAnsi="Arial"/>
                <w:b/>
                <w:color w:val="000000"/>
                <w:sz w:val="18"/>
              </w:rPr>
              <w:t>Costo simulado total*</w:t>
            </w:r>
          </w:p>
        </w:tc>
        <w:tc>
          <w:tcPr>
            <w:tcW w:type="dxa" w:w="1881"/>
            <w:vAlign w:val="center"/>
            <w:shd w:fill="FFFFFF"/>
          </w:tcPr>
          <w:p>
            <w:pPr>
              <w:spacing w:after="20" w:before="20"/>
              <w:jc w:val="left"/>
            </w:pPr>
            <w:r>
              <w:rPr>
                <w:rFonts w:ascii="Arial" w:hAnsi="Arial"/>
                <w:b/>
                <w:color w:val="000000"/>
                <w:sz w:val="18"/>
              </w:rPr>
              <w:t>Margen ilustrativo*</w:t>
            </w:r>
          </w:p>
        </w:tc>
      </w:tr>
      <w:tr>
        <w:tc>
          <w:tcPr>
            <w:tcW w:type="dxa" w:w="1881"/>
            <w:vAlign w:val="center"/>
            <w:shd w:fill="FFFFFF"/>
          </w:tcPr>
          <w:p>
            <w:pPr>
              <w:spacing w:after="20" w:before="20"/>
              <w:jc w:val="left"/>
            </w:pPr>
            <w:r>
              <w:rPr>
                <w:rFonts w:ascii="Arial" w:hAnsi="Arial"/>
                <w:color w:val="000000"/>
                <w:sz w:val="18"/>
              </w:rPr>
              <w:t>10</w:t>
            </w:r>
          </w:p>
        </w:tc>
        <w:tc>
          <w:tcPr>
            <w:tcW w:type="dxa" w:w="1881"/>
            <w:vAlign w:val="center"/>
            <w:shd w:fill="FFFFFF"/>
          </w:tcPr>
          <w:p>
            <w:pPr>
              <w:spacing w:after="20" w:before="20"/>
              <w:jc w:val="left"/>
            </w:pPr>
            <w:r>
              <w:rPr>
                <w:rFonts w:ascii="Arial" w:hAnsi="Arial"/>
                <w:color w:val="000000"/>
                <w:sz w:val="18"/>
              </w:rPr>
              <w:t>0</w:t>
            </w:r>
          </w:p>
        </w:tc>
        <w:tc>
          <w:tcPr>
            <w:tcW w:type="dxa" w:w="1881"/>
            <w:vAlign w:val="center"/>
            <w:shd w:fill="FFFFFF"/>
          </w:tcPr>
          <w:p>
            <w:pPr>
              <w:spacing w:after="20" w:before="20"/>
              <w:jc w:val="left"/>
            </w:pPr>
            <w:r>
              <w:rPr>
                <w:rFonts w:ascii="Arial" w:hAnsi="Arial"/>
                <w:color w:val="000000"/>
                <w:sz w:val="18"/>
              </w:rPr>
              <w:t>$1.200.000</w:t>
            </w:r>
          </w:p>
        </w:tc>
        <w:tc>
          <w:tcPr>
            <w:tcW w:type="dxa" w:w="1881"/>
            <w:vAlign w:val="center"/>
            <w:shd w:fill="FFFFFF"/>
          </w:tcPr>
          <w:p>
            <w:pPr>
              <w:spacing w:after="20" w:before="20"/>
              <w:jc w:val="left"/>
            </w:pPr>
            <w:r>
              <w:rPr>
                <w:rFonts w:ascii="Arial" w:hAnsi="Arial"/>
                <w:color w:val="000000"/>
                <w:sz w:val="18"/>
              </w:rPr>
              <w:t>$735.000</w:t>
            </w:r>
          </w:p>
        </w:tc>
        <w:tc>
          <w:tcPr>
            <w:tcW w:type="dxa" w:w="1881"/>
            <w:vAlign w:val="center"/>
            <w:shd w:fill="FFFFFF"/>
          </w:tcPr>
          <w:p>
            <w:pPr>
              <w:spacing w:after="20" w:before="20"/>
              <w:jc w:val="left"/>
            </w:pPr>
            <w:r>
              <w:rPr>
                <w:rFonts w:ascii="Arial" w:hAnsi="Arial"/>
                <w:color w:val="000000"/>
                <w:sz w:val="18"/>
              </w:rPr>
              <w:t>$465.000</w:t>
            </w:r>
          </w:p>
        </w:tc>
      </w:tr>
      <w:tr>
        <w:tc>
          <w:tcPr>
            <w:tcW w:type="dxa" w:w="1881"/>
            <w:vAlign w:val="center"/>
            <w:shd w:fill="FFFFFF"/>
          </w:tcPr>
          <w:p>
            <w:pPr>
              <w:spacing w:after="20" w:before="20"/>
              <w:jc w:val="left"/>
            </w:pPr>
            <w:r>
              <w:rPr>
                <w:rFonts w:ascii="Arial" w:hAnsi="Arial"/>
                <w:color w:val="000000"/>
                <w:sz w:val="18"/>
              </w:rPr>
              <w:t>20</w:t>
            </w:r>
          </w:p>
        </w:tc>
        <w:tc>
          <w:tcPr>
            <w:tcW w:type="dxa" w:w="1881"/>
            <w:vAlign w:val="center"/>
            <w:shd w:fill="FFFFFF"/>
          </w:tcPr>
          <w:p>
            <w:pPr>
              <w:spacing w:after="20" w:before="20"/>
              <w:jc w:val="left"/>
            </w:pPr>
            <w:r>
              <w:rPr>
                <w:rFonts w:ascii="Arial" w:hAnsi="Arial"/>
                <w:color w:val="000000"/>
                <w:sz w:val="18"/>
              </w:rPr>
              <w:t>10</w:t>
            </w:r>
          </w:p>
        </w:tc>
        <w:tc>
          <w:tcPr>
            <w:tcW w:type="dxa" w:w="1881"/>
            <w:vAlign w:val="center"/>
            <w:shd w:fill="FFFFFF"/>
          </w:tcPr>
          <w:p>
            <w:pPr>
              <w:spacing w:after="20" w:before="20"/>
              <w:jc w:val="left"/>
            </w:pPr>
            <w:r>
              <w:rPr>
                <w:rFonts w:ascii="Arial" w:hAnsi="Arial"/>
                <w:color w:val="000000"/>
                <w:sz w:val="18"/>
              </w:rPr>
              <w:t>$1.500.000</w:t>
            </w:r>
          </w:p>
        </w:tc>
        <w:tc>
          <w:tcPr>
            <w:tcW w:type="dxa" w:w="1881"/>
            <w:vAlign w:val="center"/>
            <w:shd w:fill="FFFFFF"/>
          </w:tcPr>
          <w:p>
            <w:pPr>
              <w:spacing w:after="20" w:before="20"/>
              <w:jc w:val="left"/>
            </w:pPr>
            <w:r>
              <w:rPr>
                <w:rFonts w:ascii="Arial" w:hAnsi="Arial"/>
                <w:color w:val="000000"/>
                <w:sz w:val="18"/>
              </w:rPr>
              <w:t>$855.000</w:t>
            </w:r>
          </w:p>
        </w:tc>
        <w:tc>
          <w:tcPr>
            <w:tcW w:type="dxa" w:w="1881"/>
            <w:vAlign w:val="center"/>
            <w:shd w:fill="FFFFFF"/>
          </w:tcPr>
          <w:p>
            <w:pPr>
              <w:spacing w:after="20" w:before="20"/>
              <w:jc w:val="left"/>
            </w:pPr>
            <w:r>
              <w:rPr>
                <w:rFonts w:ascii="Arial" w:hAnsi="Arial"/>
                <w:color w:val="000000"/>
                <w:sz w:val="18"/>
              </w:rPr>
              <w:t>$645.000</w:t>
            </w:r>
          </w:p>
        </w:tc>
      </w:tr>
      <w:tr>
        <w:tc>
          <w:tcPr>
            <w:tcW w:type="dxa" w:w="1881"/>
            <w:vAlign w:val="center"/>
            <w:shd w:fill="FFFFFF"/>
          </w:tcPr>
          <w:p>
            <w:pPr>
              <w:spacing w:after="20" w:before="20"/>
              <w:jc w:val="left"/>
            </w:pPr>
            <w:r>
              <w:rPr>
                <w:rFonts w:ascii="Arial" w:hAnsi="Arial"/>
                <w:color w:val="000000"/>
                <w:sz w:val="18"/>
              </w:rPr>
              <w:t>30</w:t>
            </w:r>
          </w:p>
        </w:tc>
        <w:tc>
          <w:tcPr>
            <w:tcW w:type="dxa" w:w="1881"/>
            <w:vAlign w:val="center"/>
            <w:shd w:fill="FFFFFF"/>
          </w:tcPr>
          <w:p>
            <w:pPr>
              <w:spacing w:after="20" w:before="20"/>
              <w:jc w:val="left"/>
            </w:pPr>
            <w:r>
              <w:rPr>
                <w:rFonts w:ascii="Arial" w:hAnsi="Arial"/>
                <w:color w:val="000000"/>
                <w:sz w:val="18"/>
              </w:rPr>
              <w:t>20</w:t>
            </w:r>
          </w:p>
        </w:tc>
        <w:tc>
          <w:tcPr>
            <w:tcW w:type="dxa" w:w="1881"/>
            <w:vAlign w:val="center"/>
            <w:shd w:fill="FFFFFF"/>
          </w:tcPr>
          <w:p>
            <w:pPr>
              <w:spacing w:after="20" w:before="20"/>
              <w:jc w:val="left"/>
            </w:pPr>
            <w:r>
              <w:rPr>
                <w:rFonts w:ascii="Arial" w:hAnsi="Arial"/>
                <w:color w:val="000000"/>
                <w:sz w:val="18"/>
              </w:rPr>
              <w:t>$1.800.000</w:t>
            </w:r>
          </w:p>
        </w:tc>
        <w:tc>
          <w:tcPr>
            <w:tcW w:type="dxa" w:w="1881"/>
            <w:vAlign w:val="center"/>
            <w:shd w:fill="FFFFFF"/>
          </w:tcPr>
          <w:p>
            <w:pPr>
              <w:spacing w:after="20" w:before="20"/>
              <w:jc w:val="left"/>
            </w:pPr>
            <w:r>
              <w:rPr>
                <w:rFonts w:ascii="Arial" w:hAnsi="Arial"/>
                <w:color w:val="000000"/>
                <w:sz w:val="18"/>
              </w:rPr>
              <w:t>$975.000</w:t>
            </w:r>
          </w:p>
        </w:tc>
        <w:tc>
          <w:tcPr>
            <w:tcW w:type="dxa" w:w="1881"/>
            <w:vAlign w:val="center"/>
            <w:shd w:fill="FFFFFF"/>
          </w:tcPr>
          <w:p>
            <w:pPr>
              <w:spacing w:after="20" w:before="20"/>
              <w:jc w:val="left"/>
            </w:pPr>
            <w:r>
              <w:rPr>
                <w:rFonts w:ascii="Arial" w:hAnsi="Arial"/>
                <w:color w:val="000000"/>
                <w:sz w:val="18"/>
              </w:rPr>
              <w:t>$825.000</w:t>
            </w:r>
          </w:p>
        </w:tc>
      </w:tr>
      <w:tr>
        <w:tc>
          <w:tcPr>
            <w:tcW w:type="dxa" w:w="1881"/>
            <w:vAlign w:val="center"/>
            <w:shd w:fill="FFFFFF"/>
          </w:tcPr>
          <w:p>
            <w:pPr>
              <w:spacing w:after="20" w:before="20"/>
              <w:jc w:val="left"/>
            </w:pPr>
            <w:r>
              <w:rPr>
                <w:rFonts w:ascii="Arial" w:hAnsi="Arial"/>
                <w:color w:val="000000"/>
                <w:sz w:val="18"/>
              </w:rPr>
              <w:t>50</w:t>
            </w:r>
          </w:p>
        </w:tc>
        <w:tc>
          <w:tcPr>
            <w:tcW w:type="dxa" w:w="1881"/>
            <w:vAlign w:val="center"/>
            <w:shd w:fill="FFFFFF"/>
          </w:tcPr>
          <w:p>
            <w:pPr>
              <w:spacing w:after="20" w:before="20"/>
              <w:jc w:val="left"/>
            </w:pPr>
            <w:r>
              <w:rPr>
                <w:rFonts w:ascii="Arial" w:hAnsi="Arial"/>
                <w:color w:val="000000"/>
                <w:sz w:val="18"/>
              </w:rPr>
              <w:t>40</w:t>
            </w:r>
          </w:p>
        </w:tc>
        <w:tc>
          <w:tcPr>
            <w:tcW w:type="dxa" w:w="1881"/>
            <w:vAlign w:val="center"/>
            <w:shd w:fill="FFFFFF"/>
          </w:tcPr>
          <w:p>
            <w:pPr>
              <w:spacing w:after="20" w:before="20"/>
              <w:jc w:val="left"/>
            </w:pPr>
            <w:r>
              <w:rPr>
                <w:rFonts w:ascii="Arial" w:hAnsi="Arial"/>
                <w:color w:val="000000"/>
                <w:sz w:val="18"/>
              </w:rPr>
              <w:t>$2.400.000</w:t>
            </w:r>
          </w:p>
        </w:tc>
        <w:tc>
          <w:tcPr>
            <w:tcW w:type="dxa" w:w="1881"/>
            <w:vAlign w:val="center"/>
            <w:shd w:fill="FFFFFF"/>
          </w:tcPr>
          <w:p>
            <w:pPr>
              <w:spacing w:after="20" w:before="20"/>
              <w:jc w:val="left"/>
            </w:pPr>
            <w:r>
              <w:rPr>
                <w:rFonts w:ascii="Arial" w:hAnsi="Arial"/>
                <w:color w:val="000000"/>
                <w:sz w:val="18"/>
              </w:rPr>
              <w:t>$1.215.000</w:t>
            </w:r>
          </w:p>
        </w:tc>
        <w:tc>
          <w:tcPr>
            <w:tcW w:type="dxa" w:w="1881"/>
            <w:vAlign w:val="center"/>
            <w:shd w:fill="FFFFFF"/>
          </w:tcPr>
          <w:p>
            <w:pPr>
              <w:spacing w:after="20" w:before="20"/>
              <w:jc w:val="left"/>
            </w:pPr>
            <w:r>
              <w:rPr>
                <w:rFonts w:ascii="Arial" w:hAnsi="Arial"/>
                <w:color w:val="000000"/>
                <w:sz w:val="18"/>
              </w:rPr>
              <w:t>$1.185.000</w:t>
            </w:r>
          </w:p>
        </w:tc>
      </w:tr>
    </w:tbl>
    <w:p>
      <w:pPr>
        <w:spacing w:after="0"/>
        <w:jc w:val="both"/>
      </w:pPr>
    </w:p>
    <w:p>
      <w:pPr>
        <w:jc w:val="both"/>
      </w:pPr>
      <w:r>
        <w:rPr>
          <w:rFonts w:ascii="Arial" w:hAnsi="Arial"/>
          <w:color w:val="000000"/>
          <w:sz w:val="21"/>
        </w:rPr>
        <w:t>* Valores netos y con infraestructura base del primer cliente; suponen crecimiento lineal de $12.000/junta adicional, sin saltos de servidores, personal ni costos de multi-municipio. NO son proyecciones validadas ni capacidad garantizada. No incluyen cargos únicos de incorporación.</w:t>
      </w:r>
    </w:p>
    <w:p>
      <w:pPr>
        <w:jc w:val="both"/>
      </w:pPr>
      <w:r>
        <w:rPr>
          <w:rFonts w:ascii="Arial" w:hAnsi="Arial"/>
          <w:color w:val="000000"/>
          <w:sz w:val="21"/>
        </w:rPr>
        <w:t>La capacidad comercial definitiva será el menor de los límites comprobados de base de datos, recursos del servidor, almacenamiento, concurrencia, IA y horas de soporte. Precio mínimo por junta extra = costo incremental / (1 − margen objetivo); debe revisarse también el volumen mínimo de contratación y escalones de infraestructura.</w:t>
      </w:r>
    </w:p>
    <w:p>
      <w:pPr>
        <w:pStyle w:val="Heading1"/>
        <w:spacing w:before="200" w:after="100"/>
        <w:jc w:val="left"/>
      </w:pPr>
      <w:r>
        <w:rPr>
          <w:rFonts w:ascii="Arial" w:hAnsi="Arial"/>
          <w:color w:val="000000"/>
        </w:rPr>
        <w:t>8. Alternativa On-Premise: licencia e instalación local</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FFFFFF"/>
          </w:tcPr>
          <w:p>
            <w:pPr>
              <w:spacing w:after="20" w:before="20"/>
              <w:jc w:val="left"/>
            </w:pPr>
            <w:r>
              <w:rPr>
                <w:rFonts w:ascii="Arial" w:hAnsi="Arial"/>
                <w:b/>
                <w:color w:val="000000"/>
                <w:sz w:val="18"/>
              </w:rPr>
              <w:t>Concepto</w:t>
            </w:r>
          </w:p>
        </w:tc>
        <w:tc>
          <w:tcPr>
            <w:tcW w:type="dxa" w:w="3135"/>
            <w:vAlign w:val="center"/>
            <w:shd w:fill="FFFFFF"/>
          </w:tcPr>
          <w:p>
            <w:pPr>
              <w:spacing w:after="20" w:before="20"/>
              <w:jc w:val="left"/>
            </w:pPr>
            <w:r>
              <w:rPr>
                <w:rFonts w:ascii="Arial" w:hAnsi="Arial"/>
                <w:b/>
                <w:color w:val="000000"/>
                <w:sz w:val="18"/>
              </w:rPr>
              <w:t>Precio neto</w:t>
            </w:r>
          </w:p>
        </w:tc>
        <w:tc>
          <w:tcPr>
            <w:tcW w:type="dxa" w:w="3135"/>
            <w:vAlign w:val="center"/>
            <w:shd w:fill="FFFFFF"/>
          </w:tcPr>
          <w:p>
            <w:pPr>
              <w:spacing w:after="20" w:before="20"/>
              <w:jc w:val="left"/>
            </w:pPr>
            <w:r>
              <w:rPr>
                <w:rFonts w:ascii="Arial" w:hAnsi="Arial"/>
                <w:b/>
                <w:color w:val="000000"/>
                <w:sz w:val="18"/>
              </w:rPr>
              <w:t>IVA incluido</w:t>
            </w:r>
          </w:p>
        </w:tc>
      </w:tr>
      <w:tr>
        <w:tc>
          <w:tcPr>
            <w:tcW w:type="dxa" w:w="3135"/>
            <w:vAlign w:val="center"/>
            <w:shd w:fill="FFFFFF"/>
          </w:tcPr>
          <w:p>
            <w:pPr>
              <w:spacing w:after="20" w:before="20"/>
              <w:jc w:val="left"/>
            </w:pPr>
            <w:r>
              <w:rPr>
                <w:rFonts w:ascii="Arial" w:hAnsi="Arial"/>
                <w:color w:val="000000"/>
                <w:sz w:val="18"/>
              </w:rPr>
              <w:t>Licencia perpetua de uso</w:t>
            </w:r>
          </w:p>
        </w:tc>
        <w:tc>
          <w:tcPr>
            <w:tcW w:type="dxa" w:w="3135"/>
            <w:vAlign w:val="center"/>
            <w:shd w:fill="FFFFFF"/>
          </w:tcPr>
          <w:p>
            <w:pPr>
              <w:spacing w:after="20" w:before="20"/>
              <w:jc w:val="left"/>
            </w:pPr>
            <w:r>
              <w:rPr>
                <w:rFonts w:ascii="Arial" w:hAnsi="Arial"/>
                <w:color w:val="000000"/>
                <w:sz w:val="18"/>
              </w:rPr>
              <w:t>$38.500.000</w:t>
            </w:r>
          </w:p>
        </w:tc>
        <w:tc>
          <w:tcPr>
            <w:tcW w:type="dxa" w:w="3135"/>
            <w:vAlign w:val="center"/>
            <w:shd w:fill="FFFFFF"/>
          </w:tcPr>
          <w:p>
            <w:pPr>
              <w:spacing w:after="20" w:before="20"/>
              <w:jc w:val="left"/>
            </w:pPr>
            <w:r>
              <w:rPr>
                <w:rFonts w:ascii="Arial" w:hAnsi="Arial"/>
                <w:color w:val="000000"/>
                <w:sz w:val="18"/>
              </w:rPr>
              <w:t>$45.815.000</w:t>
            </w:r>
          </w:p>
        </w:tc>
      </w:tr>
      <w:tr>
        <w:tc>
          <w:tcPr>
            <w:tcW w:type="dxa" w:w="3135"/>
            <w:vAlign w:val="center"/>
            <w:shd w:fill="FFFFFF"/>
          </w:tcPr>
          <w:p>
            <w:pPr>
              <w:spacing w:after="20" w:before="20"/>
              <w:jc w:val="left"/>
            </w:pPr>
            <w:r>
              <w:rPr>
                <w:rFonts w:ascii="Arial" w:hAnsi="Arial"/>
                <w:color w:val="000000"/>
                <w:sz w:val="18"/>
              </w:rPr>
              <w:t>Servidor empresarial</w:t>
            </w:r>
          </w:p>
        </w:tc>
        <w:tc>
          <w:tcPr>
            <w:tcW w:type="dxa" w:w="3135"/>
            <w:vAlign w:val="center"/>
            <w:shd w:fill="FFFFFF"/>
          </w:tcPr>
          <w:p>
            <w:pPr>
              <w:spacing w:after="20" w:before="20"/>
              <w:jc w:val="left"/>
            </w:pPr>
            <w:r>
              <w:rPr>
                <w:rFonts w:ascii="Arial" w:hAnsi="Arial"/>
                <w:color w:val="000000"/>
                <w:sz w:val="18"/>
              </w:rPr>
              <w:t>$4.800.000</w:t>
            </w:r>
          </w:p>
        </w:tc>
        <w:tc>
          <w:tcPr>
            <w:tcW w:type="dxa" w:w="3135"/>
            <w:vAlign w:val="center"/>
            <w:shd w:fill="FFFFFF"/>
          </w:tcPr>
          <w:p>
            <w:pPr>
              <w:spacing w:after="20" w:before="20"/>
              <w:jc w:val="left"/>
            </w:pPr>
            <w:r>
              <w:rPr>
                <w:rFonts w:ascii="Arial" w:hAnsi="Arial"/>
                <w:color w:val="000000"/>
                <w:sz w:val="18"/>
              </w:rPr>
              <w:t>$5.712.000</w:t>
            </w:r>
          </w:p>
        </w:tc>
      </w:tr>
      <w:tr>
        <w:tc>
          <w:tcPr>
            <w:tcW w:type="dxa" w:w="3135"/>
            <w:vAlign w:val="center"/>
            <w:shd w:fill="FFFFFF"/>
          </w:tcPr>
          <w:p>
            <w:pPr>
              <w:spacing w:after="20" w:before="20"/>
              <w:jc w:val="left"/>
            </w:pPr>
            <w:r>
              <w:rPr>
                <w:rFonts w:ascii="Arial" w:hAnsi="Arial"/>
                <w:color w:val="000000"/>
                <w:sz w:val="18"/>
              </w:rPr>
              <w:t>Instalación y aceptación</w:t>
            </w:r>
          </w:p>
        </w:tc>
        <w:tc>
          <w:tcPr>
            <w:tcW w:type="dxa" w:w="3135"/>
            <w:vAlign w:val="center"/>
            <w:shd w:fill="FFFFFF"/>
          </w:tcPr>
          <w:p>
            <w:pPr>
              <w:spacing w:after="20" w:before="20"/>
              <w:jc w:val="left"/>
            </w:pPr>
            <w:r>
              <w:rPr>
                <w:rFonts w:ascii="Arial" w:hAnsi="Arial"/>
                <w:color w:val="000000"/>
                <w:sz w:val="18"/>
              </w:rPr>
              <w:t>$3.500.000</w:t>
            </w:r>
          </w:p>
        </w:tc>
        <w:tc>
          <w:tcPr>
            <w:tcW w:type="dxa" w:w="3135"/>
            <w:vAlign w:val="center"/>
            <w:shd w:fill="FFFFFF"/>
          </w:tcPr>
          <w:p>
            <w:pPr>
              <w:spacing w:after="20" w:before="20"/>
              <w:jc w:val="left"/>
            </w:pPr>
            <w:r>
              <w:rPr>
                <w:rFonts w:ascii="Arial" w:hAnsi="Arial"/>
                <w:color w:val="000000"/>
                <w:sz w:val="18"/>
              </w:rPr>
              <w:t>$4.165.000</w:t>
            </w:r>
          </w:p>
        </w:tc>
      </w:tr>
      <w:tr>
        <w:tc>
          <w:tcPr>
            <w:tcW w:type="dxa" w:w="3135"/>
            <w:vAlign w:val="center"/>
            <w:shd w:fill="FFFFFF"/>
          </w:tcPr>
          <w:p>
            <w:pPr>
              <w:spacing w:after="20" w:before="20"/>
              <w:jc w:val="left"/>
            </w:pPr>
            <w:r>
              <w:rPr>
                <w:rFonts w:ascii="Arial" w:hAnsi="Arial"/>
                <w:color w:val="000000"/>
                <w:sz w:val="18"/>
              </w:rPr>
              <w:t>Total inicial</w:t>
            </w:r>
          </w:p>
        </w:tc>
        <w:tc>
          <w:tcPr>
            <w:tcW w:type="dxa" w:w="3135"/>
            <w:vAlign w:val="center"/>
            <w:shd w:fill="FFFFFF"/>
          </w:tcPr>
          <w:p>
            <w:pPr>
              <w:spacing w:after="20" w:before="20"/>
              <w:jc w:val="left"/>
            </w:pPr>
            <w:r>
              <w:rPr>
                <w:rFonts w:ascii="Arial" w:hAnsi="Arial"/>
                <w:color w:val="000000"/>
                <w:sz w:val="18"/>
              </w:rPr>
              <w:t>$46.800.000</w:t>
            </w:r>
          </w:p>
        </w:tc>
        <w:tc>
          <w:tcPr>
            <w:tcW w:type="dxa" w:w="3135"/>
            <w:vAlign w:val="center"/>
            <w:shd w:fill="FFFFFF"/>
          </w:tcPr>
          <w:p>
            <w:pPr>
              <w:spacing w:after="20" w:before="20"/>
              <w:jc w:val="left"/>
            </w:pPr>
            <w:r>
              <w:rPr>
                <w:rFonts w:ascii="Arial" w:hAnsi="Arial"/>
                <w:color w:val="000000"/>
                <w:sz w:val="18"/>
              </w:rPr>
              <w:t>$55.692.000</w:t>
            </w:r>
          </w:p>
        </w:tc>
      </w:tr>
      <w:tr>
        <w:tc>
          <w:tcPr>
            <w:tcW w:type="dxa" w:w="3135"/>
            <w:vAlign w:val="center"/>
            <w:shd w:fill="FFFFFF"/>
          </w:tcPr>
          <w:p>
            <w:pPr>
              <w:spacing w:after="20" w:before="20"/>
              <w:jc w:val="left"/>
            </w:pPr>
            <w:r>
              <w:rPr>
                <w:rFonts w:ascii="Arial" w:hAnsi="Arial"/>
                <w:color w:val="000000"/>
                <w:sz w:val="18"/>
              </w:rPr>
              <w:t>Soporte y mantenimiento / mes</w:t>
            </w:r>
          </w:p>
        </w:tc>
        <w:tc>
          <w:tcPr>
            <w:tcW w:type="dxa" w:w="3135"/>
            <w:vAlign w:val="center"/>
            <w:shd w:fill="FFFFFF"/>
          </w:tcPr>
          <w:p>
            <w:pPr>
              <w:spacing w:after="20" w:before="20"/>
              <w:jc w:val="left"/>
            </w:pPr>
            <w:r>
              <w:rPr>
                <w:rFonts w:ascii="Arial" w:hAnsi="Arial"/>
                <w:color w:val="000000"/>
                <w:sz w:val="18"/>
              </w:rPr>
              <w:t>$890.000</w:t>
            </w:r>
          </w:p>
        </w:tc>
        <w:tc>
          <w:tcPr>
            <w:tcW w:type="dxa" w:w="3135"/>
            <w:vAlign w:val="center"/>
            <w:shd w:fill="FFFFFF"/>
          </w:tcPr>
          <w:p>
            <w:pPr>
              <w:spacing w:after="20" w:before="20"/>
              <w:jc w:val="left"/>
            </w:pPr>
            <w:r>
              <w:rPr>
                <w:rFonts w:ascii="Arial" w:hAnsi="Arial"/>
                <w:color w:val="000000"/>
                <w:sz w:val="18"/>
              </w:rPr>
              <w:t>$1.059.100</w:t>
            </w:r>
          </w:p>
        </w:tc>
      </w:tr>
    </w:tbl>
    <w:p>
      <w:pPr>
        <w:spacing w:after="0"/>
        <w:jc w:val="both"/>
      </w:pPr>
    </w:p>
    <w:p>
      <w:pPr>
        <w:jc w:val="both"/>
      </w:pPr>
      <w:r>
        <w:rPr>
          <w:rFonts w:ascii="Arial" w:hAnsi="Arial"/>
          <w:color w:val="000000"/>
          <w:sz w:val="21"/>
        </w:rPr>
        <w:t>El costo presupuestado del SLA On-Premise es $650.000/mes; el margen de contribución estimado sería $240.000/mes. Hardware, garantías, visitas, repuestos, actividades de restauración y cláusulas de licencia requieren confirmación con proveedores y contratos. Una licencia de uso no implica transferir propiedad del código fuente.</w:t>
      </w:r>
    </w:p>
    <w:p>
      <w:pPr>
        <w:pStyle w:val="Heading1"/>
        <w:spacing w:before="200" w:after="100"/>
        <w:jc w:val="left"/>
      </w:pPr>
      <w:r>
        <w:rPr>
          <w:rFonts w:ascii="Arial" w:hAnsi="Arial"/>
          <w:color w:val="000000"/>
        </w:rPr>
        <w:t>9. Proyección financiera SaaS a tres años</w:t>
      </w:r>
    </w:p>
    <w:p>
      <w:pPr>
        <w:jc w:val="both"/>
      </w:pPr>
      <w:r>
        <w:rPr>
          <w:rFonts w:ascii="Arial" w:hAnsi="Arial"/>
          <w:color w:val="000000"/>
          <w:sz w:val="21"/>
        </w:rPr>
        <w:t>Se proyecta un escenario de comercialización con un municipio y diez juntas incorporadas en el primer año; tres municipios activos y veinte altas nuevas en el segundo año; y tres municipios activos sin altas adicionales en el tercero. Para efectos de comparación anual, cada contrato se considera vigente durante los doce meses del año correspondiente. No se incluyen ingresos por mensualidades de juntas adicionales, porque ese cargo sigue sujeto a validación, ni impuestos sobre la renta ni gastos empresariales todavía no presupuestados.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FFFFFF"/>
          </w:tcPr>
          <w:p>
            <w:pPr>
              <w:spacing w:after="20" w:before="20"/>
              <w:jc w:val="left"/>
            </w:pPr>
            <w:r>
              <w:rPr>
                <w:rFonts w:ascii="Arial" w:hAnsi="Arial"/>
                <w:b/>
                <w:color w:val="000000"/>
                <w:sz w:val="18"/>
              </w:rPr>
              <w:t>Período</w:t>
            </w:r>
          </w:p>
        </w:tc>
        <w:tc>
          <w:tcPr>
            <w:tcW w:type="dxa" w:w="1881"/>
            <w:vAlign w:val="center"/>
            <w:shd w:fill="FFFFFF"/>
          </w:tcPr>
          <w:p>
            <w:pPr>
              <w:spacing w:after="20" w:before="20"/>
              <w:jc w:val="left"/>
            </w:pPr>
            <w:r>
              <w:rPr>
                <w:rFonts w:ascii="Arial" w:hAnsi="Arial"/>
                <w:b/>
                <w:color w:val="000000"/>
                <w:sz w:val="18"/>
              </w:rPr>
              <w:t>Ingresos netos</w:t>
            </w:r>
          </w:p>
        </w:tc>
        <w:tc>
          <w:tcPr>
            <w:tcW w:type="dxa" w:w="1881"/>
            <w:vAlign w:val="center"/>
            <w:shd w:fill="FFFFFF"/>
          </w:tcPr>
          <w:p>
            <w:pPr>
              <w:spacing w:after="20" w:before="20"/>
              <w:jc w:val="left"/>
            </w:pPr>
            <w:r>
              <w:rPr>
                <w:rFonts w:ascii="Arial" w:hAnsi="Arial"/>
                <w:b/>
                <w:color w:val="000000"/>
                <w:sz w:val="18"/>
              </w:rPr>
              <w:t>Egresos netos</w:t>
            </w:r>
          </w:p>
        </w:tc>
        <w:tc>
          <w:tcPr>
            <w:tcW w:type="dxa" w:w="1881"/>
            <w:vAlign w:val="center"/>
            <w:shd w:fill="FFFFFF"/>
          </w:tcPr>
          <w:p>
            <w:pPr>
              <w:spacing w:after="20" w:before="20"/>
              <w:jc w:val="left"/>
            </w:pPr>
            <w:r>
              <w:rPr>
                <w:rFonts w:ascii="Arial" w:hAnsi="Arial"/>
                <w:b/>
                <w:color w:val="000000"/>
                <w:sz w:val="18"/>
              </w:rPr>
              <w:t>Resultado anual</w:t>
            </w:r>
          </w:p>
        </w:tc>
        <w:tc>
          <w:tcPr>
            <w:tcW w:type="dxa" w:w="1881"/>
            <w:vAlign w:val="center"/>
            <w:shd w:fill="FFFFFF"/>
          </w:tcPr>
          <w:p>
            <w:pPr>
              <w:spacing w:after="20" w:before="20"/>
              <w:jc w:val="left"/>
            </w:pPr>
            <w:r>
              <w:rPr>
                <w:rFonts w:ascii="Arial" w:hAnsi="Arial"/>
                <w:b/>
                <w:color w:val="000000"/>
                <w:sz w:val="18"/>
              </w:rPr>
              <w:t>Acumulado</w:t>
            </w:r>
          </w:p>
        </w:tc>
      </w:tr>
      <w:tr>
        <w:tc>
          <w:tcPr>
            <w:tcW w:type="dxa" w:w="1881"/>
            <w:vAlign w:val="center"/>
            <w:shd w:fill="FFFFFF"/>
          </w:tcPr>
          <w:p>
            <w:pPr>
              <w:spacing w:after="20" w:before="20"/>
              <w:jc w:val="left"/>
            </w:pPr>
            <w:r>
              <w:rPr>
                <w:rFonts w:ascii="Arial" w:hAnsi="Arial"/>
                <w:color w:val="000000"/>
                <w:sz w:val="18"/>
              </w:rPr>
              <w:t>Año 1</w:t>
            </w:r>
          </w:p>
        </w:tc>
        <w:tc>
          <w:tcPr>
            <w:tcW w:type="dxa" w:w="1881"/>
            <w:vAlign w:val="center"/>
            <w:shd w:fill="FFFFFF"/>
          </w:tcPr>
          <w:p>
            <w:pPr>
              <w:spacing w:after="20" w:before="20"/>
              <w:jc w:val="left"/>
            </w:pPr>
            <w:r>
              <w:rPr>
                <w:rFonts w:ascii="Arial" w:hAnsi="Arial"/>
                <w:color w:val="000000"/>
                <w:sz w:val="18"/>
              </w:rPr>
              <w:t>$17.900.000</w:t>
            </w:r>
          </w:p>
        </w:tc>
        <w:tc>
          <w:tcPr>
            <w:tcW w:type="dxa" w:w="1881"/>
            <w:vAlign w:val="center"/>
            <w:shd w:fill="FFFFFF"/>
          </w:tcPr>
          <w:p>
            <w:pPr>
              <w:spacing w:after="20" w:before="20"/>
              <w:jc w:val="left"/>
            </w:pPr>
            <w:r>
              <w:rPr>
                <w:rFonts w:ascii="Arial" w:hAnsi="Arial"/>
                <w:color w:val="000000"/>
                <w:sz w:val="18"/>
              </w:rPr>
              <w:t>$31.320.000</w:t>
            </w:r>
          </w:p>
        </w:tc>
        <w:tc>
          <w:tcPr>
            <w:tcW w:type="dxa" w:w="1881"/>
            <w:vAlign w:val="center"/>
            <w:shd w:fill="FFFFFF"/>
          </w:tcPr>
          <w:p>
            <w:pPr>
              <w:spacing w:after="20" w:before="20"/>
              <w:jc w:val="left"/>
            </w:pPr>
            <w:r>
              <w:rPr>
                <w:rFonts w:ascii="Arial" w:hAnsi="Arial"/>
                <w:color w:val="000000"/>
                <w:sz w:val="18"/>
              </w:rPr>
              <w:t>−$13.420.000</w:t>
            </w:r>
          </w:p>
        </w:tc>
        <w:tc>
          <w:tcPr>
            <w:tcW w:type="dxa" w:w="1881"/>
            <w:vAlign w:val="center"/>
            <w:shd w:fill="FFFFFF"/>
          </w:tcPr>
          <w:p>
            <w:pPr>
              <w:spacing w:after="20" w:before="20"/>
              <w:jc w:val="left"/>
            </w:pPr>
            <w:r>
              <w:rPr>
                <w:rFonts w:ascii="Arial" w:hAnsi="Arial"/>
                <w:color w:val="000000"/>
                <w:sz w:val="18"/>
              </w:rPr>
              <w:t>−$13.420.000</w:t>
            </w:r>
          </w:p>
        </w:tc>
      </w:tr>
      <w:tr>
        <w:tc>
          <w:tcPr>
            <w:tcW w:type="dxa" w:w="1881"/>
            <w:vAlign w:val="center"/>
            <w:shd w:fill="FFFFFF"/>
          </w:tcPr>
          <w:p>
            <w:pPr>
              <w:spacing w:after="20" w:before="20"/>
              <w:jc w:val="left"/>
            </w:pPr>
            <w:r>
              <w:rPr>
                <w:rFonts w:ascii="Arial" w:hAnsi="Arial"/>
                <w:color w:val="000000"/>
                <w:sz w:val="18"/>
              </w:rPr>
              <w:t>Año 2</w:t>
            </w:r>
          </w:p>
        </w:tc>
        <w:tc>
          <w:tcPr>
            <w:tcW w:type="dxa" w:w="1881"/>
            <w:vAlign w:val="center"/>
            <w:shd w:fill="FFFFFF"/>
          </w:tcPr>
          <w:p>
            <w:pPr>
              <w:spacing w:after="20" w:before="20"/>
              <w:jc w:val="left"/>
            </w:pPr>
            <w:r>
              <w:rPr>
                <w:rFonts w:ascii="Arial" w:hAnsi="Arial"/>
                <w:color w:val="000000"/>
                <w:sz w:val="18"/>
              </w:rPr>
              <w:t>$50.200.000</w:t>
            </w:r>
          </w:p>
        </w:tc>
        <w:tc>
          <w:tcPr>
            <w:tcW w:type="dxa" w:w="1881"/>
            <w:vAlign w:val="center"/>
            <w:shd w:fill="FFFFFF"/>
          </w:tcPr>
          <w:p>
            <w:pPr>
              <w:spacing w:after="20" w:before="20"/>
              <w:jc w:val="left"/>
            </w:pPr>
            <w:r>
              <w:rPr>
                <w:rFonts w:ascii="Arial" w:hAnsi="Arial"/>
                <w:color w:val="000000"/>
                <w:sz w:val="18"/>
              </w:rPr>
              <w:t>$25.560.000</w:t>
            </w:r>
          </w:p>
        </w:tc>
        <w:tc>
          <w:tcPr>
            <w:tcW w:type="dxa" w:w="1881"/>
            <w:vAlign w:val="center"/>
            <w:shd w:fill="FFFFFF"/>
          </w:tcPr>
          <w:p>
            <w:pPr>
              <w:spacing w:after="20" w:before="20"/>
              <w:jc w:val="left"/>
            </w:pPr>
            <w:r>
              <w:rPr>
                <w:rFonts w:ascii="Arial" w:hAnsi="Arial"/>
                <w:color w:val="000000"/>
                <w:sz w:val="18"/>
              </w:rPr>
              <w:t>+$24.640.000</w:t>
            </w:r>
          </w:p>
        </w:tc>
        <w:tc>
          <w:tcPr>
            <w:tcW w:type="dxa" w:w="1881"/>
            <w:vAlign w:val="center"/>
            <w:shd w:fill="FFFFFF"/>
          </w:tcPr>
          <w:p>
            <w:pPr>
              <w:spacing w:after="20" w:before="20"/>
              <w:jc w:val="left"/>
            </w:pPr>
            <w:r>
              <w:rPr>
                <w:rFonts w:ascii="Arial" w:hAnsi="Arial"/>
                <w:color w:val="000000"/>
                <w:sz w:val="18"/>
              </w:rPr>
              <w:t>+$11.220.000</w:t>
            </w:r>
          </w:p>
        </w:tc>
      </w:tr>
      <w:tr>
        <w:tc>
          <w:tcPr>
            <w:tcW w:type="dxa" w:w="1881"/>
            <w:vAlign w:val="center"/>
            <w:shd w:fill="FFFFFF"/>
          </w:tcPr>
          <w:p>
            <w:pPr>
              <w:spacing w:after="20" w:before="20"/>
              <w:jc w:val="left"/>
            </w:pPr>
            <w:r>
              <w:rPr>
                <w:rFonts w:ascii="Arial" w:hAnsi="Arial"/>
                <w:color w:val="000000"/>
                <w:sz w:val="18"/>
              </w:rPr>
              <w:t>Año 3</w:t>
            </w:r>
          </w:p>
        </w:tc>
        <w:tc>
          <w:tcPr>
            <w:tcW w:type="dxa" w:w="1881"/>
            <w:vAlign w:val="center"/>
            <w:shd w:fill="FFFFFF"/>
          </w:tcPr>
          <w:p>
            <w:pPr>
              <w:spacing w:after="20" w:before="20"/>
              <w:jc w:val="left"/>
            </w:pPr>
            <w:r>
              <w:rPr>
                <w:rFonts w:ascii="Arial" w:hAnsi="Arial"/>
                <w:color w:val="000000"/>
                <w:sz w:val="18"/>
              </w:rPr>
              <w:t>$43.200.000</w:t>
            </w:r>
          </w:p>
        </w:tc>
        <w:tc>
          <w:tcPr>
            <w:tcW w:type="dxa" w:w="1881"/>
            <w:vAlign w:val="center"/>
            <w:shd w:fill="FFFFFF"/>
          </w:tcPr>
          <w:p>
            <w:pPr>
              <w:spacing w:after="20" w:before="20"/>
              <w:jc w:val="left"/>
            </w:pPr>
            <w:r>
              <w:rPr>
                <w:rFonts w:ascii="Arial" w:hAnsi="Arial"/>
                <w:color w:val="000000"/>
                <w:sz w:val="18"/>
              </w:rPr>
              <w:t>$21.660.000</w:t>
            </w:r>
          </w:p>
        </w:tc>
        <w:tc>
          <w:tcPr>
            <w:tcW w:type="dxa" w:w="1881"/>
            <w:vAlign w:val="center"/>
            <w:shd w:fill="FFFFFF"/>
          </w:tcPr>
          <w:p>
            <w:pPr>
              <w:spacing w:after="20" w:before="20"/>
              <w:jc w:val="left"/>
            </w:pPr>
            <w:r>
              <w:rPr>
                <w:rFonts w:ascii="Arial" w:hAnsi="Arial"/>
                <w:color w:val="000000"/>
                <w:sz w:val="18"/>
              </w:rPr>
              <w:t>+$21.540.000</w:t>
            </w:r>
          </w:p>
        </w:tc>
        <w:tc>
          <w:tcPr>
            <w:tcW w:type="dxa" w:w="1881"/>
            <w:vAlign w:val="center"/>
            <w:shd w:fill="FFFFFF"/>
          </w:tcPr>
          <w:p>
            <w:pPr>
              <w:spacing w:after="20" w:before="20"/>
              <w:jc w:val="left"/>
            </w:pPr>
            <w:r>
              <w:rPr>
                <w:rFonts w:ascii="Arial" w:hAnsi="Arial"/>
                <w:color w:val="000000"/>
                <w:sz w:val="18"/>
              </w:rPr>
              <w:t>+$32.760.000</w:t>
            </w:r>
          </w:p>
        </w:tc>
      </w:tr>
    </w:tbl>
    <w:p>
      <w:pPr>
        <w:spacing w:after="0"/>
        <w:jc w:val="both"/>
      </w:pPr>
    </w:p>
    <w:p>
      <w:pPr>
        <w:jc w:val="both"/>
      </w:pPr>
      <w:r>
        <w:rPr>
          <w:rFonts w:ascii="Arial" w:hAnsi="Arial"/>
          <w:color w:val="000000"/>
          <w:sz w:val="21"/>
        </w:rPr>
        <w:t>Detalle año 1: ingreso $14.400.000 de suscripciones + $3.500.000 por diez altas; egreso $20.250.000 desarrollo + $3.600.000 infraestructura + $5.220.000 operación + $2.250.000 altas. Año 2: $43.200.000 de suscripciones + $7.000.000 por 20 altas; egresos $15.660.000 operación de tres municipios + $5.400.000 infraestructura escalada + $4.500.000 implementación. Año 3: suscripción $43.200.000; egresos $15.660.000 operación + $6.000.000 infraestructura.</w:t>
      </w:r>
    </w:p>
    <w:p>
      <w:pPr>
        <w:jc w:val="both"/>
      </w:pPr>
      <w:r>
        <w:rPr>
          <w:rFonts w:ascii="Arial" w:hAnsi="Arial"/>
          <w:color w:val="000000"/>
          <w:sz w:val="21"/>
        </w:rPr>
        <w:t>En este escenario se recuperaría la inversión de desarrollo durante el segundo año en términos de resultado acumulado anual. No se calcula un mes exacto de recuperación: las altas, pagos y costos no se distribuyeron mes a mes, y los municipios pueden pagar con retraso. Estos resultados cambian al incorporar IVA de caja, impuesto a la renta, recursos de alta disponibilidad y costo empresa completo.</w:t>
      </w:r>
    </w:p>
    <w:p>
      <w:pPr>
        <w:pStyle w:val="Heading1"/>
        <w:spacing w:before="200" w:after="100"/>
        <w:jc w:val="left"/>
      </w:pPr>
      <w:r>
        <w:rPr>
          <w:rFonts w:ascii="Arial" w:hAnsi="Arial"/>
          <w:color w:val="000000"/>
        </w:rPr>
        <w:t>10. Sensibilidad y exposición a riesgo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FFFFFF"/>
          </w:tcPr>
          <w:p>
            <w:pPr>
              <w:spacing w:after="20" w:before="20"/>
              <w:jc w:val="left"/>
            </w:pPr>
            <w:r>
              <w:rPr>
                <w:rFonts w:ascii="Arial" w:hAnsi="Arial"/>
                <w:b/>
                <w:color w:val="000000"/>
                <w:sz w:val="18"/>
              </w:rPr>
              <w:t>Supuesto primer municipio</w:t>
            </w:r>
          </w:p>
        </w:tc>
        <w:tc>
          <w:tcPr>
            <w:tcW w:type="dxa" w:w="2351"/>
            <w:vAlign w:val="center"/>
            <w:shd w:fill="FFFFFF"/>
          </w:tcPr>
          <w:p>
            <w:pPr>
              <w:spacing w:after="20" w:before="20"/>
              <w:jc w:val="left"/>
            </w:pPr>
            <w:r>
              <w:rPr>
                <w:rFonts w:ascii="Arial" w:hAnsi="Arial"/>
                <w:b/>
                <w:color w:val="000000"/>
                <w:sz w:val="18"/>
              </w:rPr>
              <w:t>Costo presupuestado/mes</w:t>
            </w:r>
          </w:p>
        </w:tc>
        <w:tc>
          <w:tcPr>
            <w:tcW w:type="dxa" w:w="2351"/>
            <w:vAlign w:val="center"/>
            <w:shd w:fill="FFFFFF"/>
          </w:tcPr>
          <w:p>
            <w:pPr>
              <w:spacing w:after="20" w:before="20"/>
              <w:jc w:val="left"/>
            </w:pPr>
            <w:r>
              <w:rPr>
                <w:rFonts w:ascii="Arial" w:hAnsi="Arial"/>
                <w:b/>
                <w:color w:val="000000"/>
                <w:sz w:val="18"/>
              </w:rPr>
              <w:t>Precio SaaS/mes</w:t>
            </w:r>
          </w:p>
        </w:tc>
        <w:tc>
          <w:tcPr>
            <w:tcW w:type="dxa" w:w="2351"/>
            <w:vAlign w:val="center"/>
            <w:shd w:fill="FFFFFF"/>
          </w:tcPr>
          <w:p>
            <w:pPr>
              <w:spacing w:after="20" w:before="20"/>
              <w:jc w:val="left"/>
            </w:pPr>
            <w:r>
              <w:rPr>
                <w:rFonts w:ascii="Arial" w:hAnsi="Arial"/>
                <w:b/>
                <w:color w:val="000000"/>
                <w:sz w:val="18"/>
              </w:rPr>
              <w:t>Margen/mes</w:t>
            </w:r>
          </w:p>
        </w:tc>
      </w:tr>
      <w:tr>
        <w:tc>
          <w:tcPr>
            <w:tcW w:type="dxa" w:w="2351"/>
            <w:vAlign w:val="center"/>
            <w:shd w:fill="FFFFFF"/>
          </w:tcPr>
          <w:p>
            <w:pPr>
              <w:spacing w:after="20" w:before="20"/>
              <w:jc w:val="left"/>
            </w:pPr>
            <w:r>
              <w:rPr>
                <w:rFonts w:ascii="Arial" w:hAnsi="Arial"/>
                <w:color w:val="000000"/>
                <w:sz w:val="18"/>
              </w:rPr>
              <w:t>Base de planificación</w:t>
            </w:r>
          </w:p>
        </w:tc>
        <w:tc>
          <w:tcPr>
            <w:tcW w:type="dxa" w:w="2351"/>
            <w:vAlign w:val="center"/>
            <w:shd w:fill="FFFFFF"/>
          </w:tcPr>
          <w:p>
            <w:pPr>
              <w:spacing w:after="20" w:before="20"/>
              <w:jc w:val="left"/>
            </w:pPr>
            <w:r>
              <w:rPr>
                <w:rFonts w:ascii="Arial" w:hAnsi="Arial"/>
                <w:color w:val="000000"/>
                <w:sz w:val="18"/>
              </w:rPr>
              <w:t>$735.000</w:t>
            </w:r>
          </w:p>
        </w:tc>
        <w:tc>
          <w:tcPr>
            <w:tcW w:type="dxa" w:w="2351"/>
            <w:vAlign w:val="center"/>
            <w:shd w:fill="FFFFFF"/>
          </w:tcPr>
          <w:p>
            <w:pPr>
              <w:spacing w:after="20" w:before="20"/>
              <w:jc w:val="left"/>
            </w:pPr>
            <w:r>
              <w:rPr>
                <w:rFonts w:ascii="Arial" w:hAnsi="Arial"/>
                <w:color w:val="000000"/>
                <w:sz w:val="18"/>
              </w:rPr>
              <w:t>$1.200.000</w:t>
            </w:r>
          </w:p>
        </w:tc>
        <w:tc>
          <w:tcPr>
            <w:tcW w:type="dxa" w:w="2351"/>
            <w:vAlign w:val="center"/>
            <w:shd w:fill="FFFFFF"/>
          </w:tcPr>
          <w:p>
            <w:pPr>
              <w:spacing w:after="20" w:before="20"/>
              <w:jc w:val="left"/>
            </w:pPr>
            <w:r>
              <w:rPr>
                <w:rFonts w:ascii="Arial" w:hAnsi="Arial"/>
                <w:color w:val="000000"/>
                <w:sz w:val="18"/>
              </w:rPr>
              <w:t>$465.000</w:t>
            </w:r>
          </w:p>
        </w:tc>
      </w:tr>
      <w:tr>
        <w:tc>
          <w:tcPr>
            <w:tcW w:type="dxa" w:w="2351"/>
            <w:vAlign w:val="center"/>
            <w:shd w:fill="FFFFFF"/>
          </w:tcPr>
          <w:p>
            <w:pPr>
              <w:spacing w:after="20" w:before="20"/>
              <w:jc w:val="left"/>
            </w:pPr>
            <w:r>
              <w:rPr>
                <w:rFonts w:ascii="Arial" w:hAnsi="Arial"/>
                <w:color w:val="000000"/>
                <w:sz w:val="18"/>
              </w:rPr>
              <w:t>Infraestructura sube a $400.000</w:t>
            </w:r>
          </w:p>
        </w:tc>
        <w:tc>
          <w:tcPr>
            <w:tcW w:type="dxa" w:w="2351"/>
            <w:vAlign w:val="center"/>
            <w:shd w:fill="FFFFFF"/>
          </w:tcPr>
          <w:p>
            <w:pPr>
              <w:spacing w:after="20" w:before="20"/>
              <w:jc w:val="left"/>
            </w:pPr>
            <w:r>
              <w:rPr>
                <w:rFonts w:ascii="Arial" w:hAnsi="Arial"/>
                <w:color w:val="000000"/>
                <w:sz w:val="18"/>
              </w:rPr>
              <w:t>$835.000</w:t>
            </w:r>
          </w:p>
        </w:tc>
        <w:tc>
          <w:tcPr>
            <w:tcW w:type="dxa" w:w="2351"/>
            <w:vAlign w:val="center"/>
            <w:shd w:fill="FFFFFF"/>
          </w:tcPr>
          <w:p>
            <w:pPr>
              <w:spacing w:after="20" w:before="20"/>
              <w:jc w:val="left"/>
            </w:pPr>
            <w:r>
              <w:rPr>
                <w:rFonts w:ascii="Arial" w:hAnsi="Arial"/>
                <w:color w:val="000000"/>
                <w:sz w:val="18"/>
              </w:rPr>
              <w:t>$1.200.000</w:t>
            </w:r>
          </w:p>
        </w:tc>
        <w:tc>
          <w:tcPr>
            <w:tcW w:type="dxa" w:w="2351"/>
            <w:vAlign w:val="center"/>
            <w:shd w:fill="FFFFFF"/>
          </w:tcPr>
          <w:p>
            <w:pPr>
              <w:spacing w:after="20" w:before="20"/>
              <w:jc w:val="left"/>
            </w:pPr>
            <w:r>
              <w:rPr>
                <w:rFonts w:ascii="Arial" w:hAnsi="Arial"/>
                <w:color w:val="000000"/>
                <w:sz w:val="18"/>
              </w:rPr>
              <w:t>$365.000</w:t>
            </w:r>
          </w:p>
        </w:tc>
      </w:tr>
      <w:tr>
        <w:tc>
          <w:tcPr>
            <w:tcW w:type="dxa" w:w="2351"/>
            <w:vAlign w:val="center"/>
            <w:shd w:fill="FFFFFF"/>
          </w:tcPr>
          <w:p>
            <w:pPr>
              <w:spacing w:after="20" w:before="20"/>
              <w:jc w:val="left"/>
            </w:pPr>
            <w:r>
              <w:rPr>
                <w:rFonts w:ascii="Arial" w:hAnsi="Arial"/>
                <w:color w:val="000000"/>
                <w:sz w:val="18"/>
              </w:rPr>
              <w:t>Todos los costos suben 25%</w:t>
            </w:r>
          </w:p>
        </w:tc>
        <w:tc>
          <w:tcPr>
            <w:tcW w:type="dxa" w:w="2351"/>
            <w:vAlign w:val="center"/>
            <w:shd w:fill="FFFFFF"/>
          </w:tcPr>
          <w:p>
            <w:pPr>
              <w:spacing w:after="20" w:before="20"/>
              <w:jc w:val="left"/>
            </w:pPr>
            <w:r>
              <w:rPr>
                <w:rFonts w:ascii="Arial" w:hAnsi="Arial"/>
                <w:color w:val="000000"/>
                <w:sz w:val="18"/>
              </w:rPr>
              <w:t>$918.750</w:t>
            </w:r>
          </w:p>
        </w:tc>
        <w:tc>
          <w:tcPr>
            <w:tcW w:type="dxa" w:w="2351"/>
            <w:vAlign w:val="center"/>
            <w:shd w:fill="FFFFFF"/>
          </w:tcPr>
          <w:p>
            <w:pPr>
              <w:spacing w:after="20" w:before="20"/>
              <w:jc w:val="left"/>
            </w:pPr>
            <w:r>
              <w:rPr>
                <w:rFonts w:ascii="Arial" w:hAnsi="Arial"/>
                <w:color w:val="000000"/>
                <w:sz w:val="18"/>
              </w:rPr>
              <w:t>$1.200.000</w:t>
            </w:r>
          </w:p>
        </w:tc>
        <w:tc>
          <w:tcPr>
            <w:tcW w:type="dxa" w:w="2351"/>
            <w:vAlign w:val="center"/>
            <w:shd w:fill="FFFFFF"/>
          </w:tcPr>
          <w:p>
            <w:pPr>
              <w:spacing w:after="20" w:before="20"/>
              <w:jc w:val="left"/>
            </w:pPr>
            <w:r>
              <w:rPr>
                <w:rFonts w:ascii="Arial" w:hAnsi="Arial"/>
                <w:color w:val="000000"/>
                <w:sz w:val="18"/>
              </w:rPr>
              <w:t>$281.250</w:t>
            </w:r>
          </w:p>
        </w:tc>
      </w:tr>
      <w:tr>
        <w:tc>
          <w:tcPr>
            <w:tcW w:type="dxa" w:w="2351"/>
            <w:vAlign w:val="center"/>
            <w:shd w:fill="FFFFFF"/>
          </w:tcPr>
          <w:p>
            <w:pPr>
              <w:spacing w:after="20" w:before="20"/>
              <w:jc w:val="left"/>
            </w:pPr>
            <w:r>
              <w:rPr>
                <w:rFonts w:ascii="Arial" w:hAnsi="Arial"/>
                <w:color w:val="000000"/>
                <w:sz w:val="18"/>
              </w:rPr>
              <w:t>Precio de venta cae a $900.000</w:t>
            </w:r>
          </w:p>
        </w:tc>
        <w:tc>
          <w:tcPr>
            <w:tcW w:type="dxa" w:w="2351"/>
            <w:vAlign w:val="center"/>
            <w:shd w:fill="FFFFFF"/>
          </w:tcPr>
          <w:p>
            <w:pPr>
              <w:spacing w:after="20" w:before="20"/>
              <w:jc w:val="left"/>
            </w:pPr>
            <w:r>
              <w:rPr>
                <w:rFonts w:ascii="Arial" w:hAnsi="Arial"/>
                <w:color w:val="000000"/>
                <w:sz w:val="18"/>
              </w:rPr>
              <w:t>$735.000</w:t>
            </w:r>
          </w:p>
        </w:tc>
        <w:tc>
          <w:tcPr>
            <w:tcW w:type="dxa" w:w="2351"/>
            <w:vAlign w:val="center"/>
            <w:shd w:fill="FFFFFF"/>
          </w:tcPr>
          <w:p>
            <w:pPr>
              <w:spacing w:after="20" w:before="20"/>
              <w:jc w:val="left"/>
            </w:pPr>
            <w:r>
              <w:rPr>
                <w:rFonts w:ascii="Arial" w:hAnsi="Arial"/>
                <w:color w:val="000000"/>
                <w:sz w:val="18"/>
              </w:rPr>
              <w:t>$900.000</w:t>
            </w:r>
          </w:p>
        </w:tc>
        <w:tc>
          <w:tcPr>
            <w:tcW w:type="dxa" w:w="2351"/>
            <w:vAlign w:val="center"/>
            <w:shd w:fill="FFFFFF"/>
          </w:tcPr>
          <w:p>
            <w:pPr>
              <w:spacing w:after="20" w:before="20"/>
              <w:jc w:val="left"/>
            </w:pPr>
            <w:r>
              <w:rPr>
                <w:rFonts w:ascii="Arial" w:hAnsi="Arial"/>
                <w:color w:val="000000"/>
                <w:sz w:val="18"/>
              </w:rPr>
              <w:t>$165.000</w:t>
            </w:r>
          </w:p>
        </w:tc>
      </w:tr>
    </w:tbl>
    <w:p>
      <w:pPr>
        <w:spacing w:after="0"/>
        <w:jc w:val="both"/>
      </w:pPr>
    </w:p>
    <w:p>
      <w:pPr>
        <w:jc w:val="both"/>
      </w:pPr>
      <w:r>
        <w:rPr>
          <w:rFonts w:ascii="Arial" w:hAnsi="Arial"/>
          <w:color w:val="000000"/>
          <w:sz w:val="21"/>
        </w:rPr>
        <w:t>La sensibilidad no contempla pérdida de clientes, impuestos ni costes fijos no cargados. La rentabilidad depende de número de municipios, plazos reales de contratos, horas efectivas de atención, uso de IA, OCR, almacenamiento y posibles garantías de contratación pública.</w:t>
      </w:r>
    </w:p>
    <w:p>
      <w:pPr>
        <w:pStyle w:val="Heading1"/>
        <w:spacing w:before="200" w:after="100"/>
        <w:jc w:val="left"/>
      </w:pPr>
      <w:r>
        <w:rPr>
          <w:rFonts w:ascii="Arial" w:hAnsi="Arial"/>
          <w:color w:val="000000"/>
        </w:rPr>
        <w:t>11. Pruebas necesarias para convertir el presupuesto en cotización definitiva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FFFFFF"/>
          </w:tcPr>
          <w:p>
            <w:pPr>
              <w:spacing w:after="20" w:before="20"/>
              <w:jc w:val="left"/>
            </w:pPr>
            <w:r>
              <w:rPr>
                <w:rFonts w:ascii="Arial" w:hAnsi="Arial"/>
                <w:b/>
                <w:color w:val="000000"/>
                <w:sz w:val="18"/>
              </w:rPr>
              <w:t>Etapa</w:t>
            </w:r>
          </w:p>
        </w:tc>
        <w:tc>
          <w:tcPr>
            <w:tcW w:type="dxa" w:w="3135"/>
            <w:vAlign w:val="center"/>
            <w:shd w:fill="FFFFFF"/>
          </w:tcPr>
          <w:p>
            <w:pPr>
              <w:spacing w:after="20" w:before="20"/>
              <w:jc w:val="left"/>
            </w:pPr>
            <w:r>
              <w:rPr>
                <w:rFonts w:ascii="Arial" w:hAnsi="Arial"/>
                <w:b/>
                <w:color w:val="000000"/>
                <w:sz w:val="18"/>
              </w:rPr>
              <w:t>Qué se medirá</w:t>
            </w:r>
          </w:p>
        </w:tc>
        <w:tc>
          <w:tcPr>
            <w:tcW w:type="dxa" w:w="3135"/>
            <w:vAlign w:val="center"/>
            <w:shd w:fill="FFFFFF"/>
          </w:tcPr>
          <w:p>
            <w:pPr>
              <w:spacing w:after="20" w:before="20"/>
              <w:jc w:val="left"/>
            </w:pPr>
            <w:r>
              <w:rPr>
                <w:rFonts w:ascii="Arial" w:hAnsi="Arial"/>
                <w:b/>
                <w:color w:val="000000"/>
                <w:sz w:val="18"/>
              </w:rPr>
              <w:t>Evidencia económica</w:t>
            </w:r>
          </w:p>
        </w:tc>
      </w:tr>
      <w:tr>
        <w:tc>
          <w:tcPr>
            <w:tcW w:type="dxa" w:w="3135"/>
            <w:vAlign w:val="center"/>
            <w:shd w:fill="FFFFFF"/>
          </w:tcPr>
          <w:p>
            <w:pPr>
              <w:spacing w:after="20" w:before="20"/>
              <w:jc w:val="left"/>
            </w:pPr>
            <w:r>
              <w:rPr>
                <w:rFonts w:ascii="Arial" w:hAnsi="Arial"/>
                <w:color w:val="000000"/>
                <w:sz w:val="18"/>
              </w:rPr>
              <w:t>Ahora: proyecto ~75% por demostrar</w:t>
            </w:r>
          </w:p>
        </w:tc>
        <w:tc>
          <w:tcPr>
            <w:tcW w:type="dxa" w:w="3135"/>
            <w:vAlign w:val="center"/>
            <w:shd w:fill="FFFFFF"/>
          </w:tcPr>
          <w:p>
            <w:pPr>
              <w:spacing w:after="20" w:before="20"/>
              <w:jc w:val="left"/>
            </w:pPr>
            <w:r>
              <w:rPr>
                <w:rFonts w:ascii="Arial" w:hAnsi="Arial"/>
                <w:color w:val="000000"/>
                <w:sz w:val="18"/>
              </w:rPr>
              <w:t>Rutas, roles, API existentes y métricas de solicitudes</w:t>
            </w:r>
          </w:p>
        </w:tc>
        <w:tc>
          <w:tcPr>
            <w:tcW w:type="dxa" w:w="3135"/>
            <w:vAlign w:val="center"/>
            <w:shd w:fill="FFFFFF"/>
          </w:tcPr>
          <w:p>
            <w:pPr>
              <w:spacing w:after="20" w:before="20"/>
              <w:jc w:val="left"/>
            </w:pPr>
            <w:r>
              <w:rPr>
                <w:rFonts w:ascii="Arial" w:hAnsi="Arial"/>
                <w:color w:val="000000"/>
                <w:sz w:val="18"/>
              </w:rPr>
              <w:t>Inventario funcional y costos pendientes</w:t>
            </w:r>
          </w:p>
        </w:tc>
      </w:tr>
      <w:tr>
        <w:tc>
          <w:tcPr>
            <w:tcW w:type="dxa" w:w="3135"/>
            <w:vAlign w:val="center"/>
            <w:shd w:fill="FFFFFF"/>
          </w:tcPr>
          <w:p>
            <w:pPr>
              <w:spacing w:after="20" w:before="20"/>
              <w:jc w:val="left"/>
            </w:pPr>
            <w:r>
              <w:rPr>
                <w:rFonts w:ascii="Arial" w:hAnsi="Arial"/>
                <w:color w:val="000000"/>
                <w:sz w:val="18"/>
              </w:rPr>
              <w:t>Backend e IA terminados</w:t>
            </w:r>
          </w:p>
        </w:tc>
        <w:tc>
          <w:tcPr>
            <w:tcW w:type="dxa" w:w="3135"/>
            <w:vAlign w:val="center"/>
            <w:shd w:fill="FFFFFF"/>
          </w:tcPr>
          <w:p>
            <w:pPr>
              <w:spacing w:after="20" w:before="20"/>
              <w:jc w:val="left"/>
            </w:pPr>
            <w:r>
              <w:rPr>
                <w:rFonts w:ascii="Arial" w:hAnsi="Arial"/>
                <w:color w:val="000000"/>
                <w:sz w:val="18"/>
              </w:rPr>
              <w:t>End-to-end, privacidad, cuotas Gemini, OCR, correo, jobs</w:t>
            </w:r>
          </w:p>
        </w:tc>
        <w:tc>
          <w:tcPr>
            <w:tcW w:type="dxa" w:w="3135"/>
            <w:vAlign w:val="center"/>
            <w:shd w:fill="FFFFFF"/>
          </w:tcPr>
          <w:p>
            <w:pPr>
              <w:spacing w:after="20" w:before="20"/>
              <w:jc w:val="left"/>
            </w:pPr>
            <w:r>
              <w:rPr>
                <w:rFonts w:ascii="Arial" w:hAnsi="Arial"/>
                <w:color w:val="000000"/>
                <w:sz w:val="18"/>
              </w:rPr>
              <w:t>Tokens, documentos, horas y errores reales</w:t>
            </w:r>
          </w:p>
        </w:tc>
      </w:tr>
      <w:tr>
        <w:tc>
          <w:tcPr>
            <w:tcW w:type="dxa" w:w="3135"/>
            <w:vAlign w:val="center"/>
            <w:shd w:fill="FFFFFF"/>
          </w:tcPr>
          <w:p>
            <w:pPr>
              <w:spacing w:after="20" w:before="20"/>
              <w:jc w:val="left"/>
            </w:pPr>
            <w:r>
              <w:rPr>
                <w:rFonts w:ascii="Arial" w:hAnsi="Arial"/>
                <w:color w:val="000000"/>
                <w:sz w:val="18"/>
              </w:rPr>
              <w:t>Preproducción</w:t>
            </w:r>
          </w:p>
        </w:tc>
        <w:tc>
          <w:tcPr>
            <w:tcW w:type="dxa" w:w="3135"/>
            <w:vAlign w:val="center"/>
            <w:shd w:fill="FFFFFF"/>
          </w:tcPr>
          <w:p>
            <w:pPr>
              <w:spacing w:after="20" w:before="20"/>
              <w:jc w:val="left"/>
            </w:pPr>
            <w:r>
              <w:rPr>
                <w:rFonts w:ascii="Arial" w:hAnsi="Arial"/>
                <w:color w:val="000000"/>
                <w:sz w:val="18"/>
              </w:rPr>
              <w:t>Carga 10/20/30/50 juntas simuladas, estrés, backup restore</w:t>
            </w:r>
          </w:p>
        </w:tc>
        <w:tc>
          <w:tcPr>
            <w:tcW w:type="dxa" w:w="3135"/>
            <w:vAlign w:val="center"/>
            <w:shd w:fill="FFFFFF"/>
          </w:tcPr>
          <w:p>
            <w:pPr>
              <w:spacing w:after="20" w:before="20"/>
              <w:jc w:val="left"/>
            </w:pPr>
            <w:r>
              <w:rPr>
                <w:rFonts w:ascii="Arial" w:hAnsi="Arial"/>
                <w:color w:val="000000"/>
                <w:sz w:val="18"/>
              </w:rPr>
              <w:t>Capacidad y precio por escalón de infraestructura</w:t>
            </w:r>
          </w:p>
        </w:tc>
      </w:tr>
      <w:tr>
        <w:tc>
          <w:tcPr>
            <w:tcW w:type="dxa" w:w="3135"/>
            <w:vAlign w:val="center"/>
            <w:shd w:fill="FFFFFF"/>
          </w:tcPr>
          <w:p>
            <w:pPr>
              <w:spacing w:after="20" w:before="20"/>
              <w:jc w:val="left"/>
            </w:pPr>
            <w:r>
              <w:rPr>
                <w:rFonts w:ascii="Arial" w:hAnsi="Arial"/>
                <w:color w:val="000000"/>
                <w:sz w:val="18"/>
              </w:rPr>
              <w:t>Piloto autorizado</w:t>
            </w:r>
          </w:p>
        </w:tc>
        <w:tc>
          <w:tcPr>
            <w:tcW w:type="dxa" w:w="3135"/>
            <w:vAlign w:val="center"/>
            <w:shd w:fill="FFFFFF"/>
          </w:tcPr>
          <w:p>
            <w:pPr>
              <w:spacing w:after="20" w:before="20"/>
              <w:jc w:val="left"/>
            </w:pPr>
            <w:r>
              <w:rPr>
                <w:rFonts w:ascii="Arial" w:hAnsi="Arial"/>
                <w:color w:val="000000"/>
                <w:sz w:val="18"/>
              </w:rPr>
              <w:t>Usuarios activos, GB, tickets, consultas, tiempo atención</w:t>
            </w:r>
          </w:p>
        </w:tc>
        <w:tc>
          <w:tcPr>
            <w:tcW w:type="dxa" w:w="3135"/>
            <w:vAlign w:val="center"/>
            <w:shd w:fill="FFFFFF"/>
          </w:tcPr>
          <w:p>
            <w:pPr>
              <w:spacing w:after="20" w:before="20"/>
              <w:jc w:val="left"/>
            </w:pPr>
            <w:r>
              <w:rPr>
                <w:rFonts w:ascii="Arial" w:hAnsi="Arial"/>
                <w:color w:val="000000"/>
                <w:sz w:val="18"/>
              </w:rPr>
              <w:t>Costo incremental por junta y por municipio</w:t>
            </w:r>
          </w:p>
        </w:tc>
      </w:tr>
      <w:tr>
        <w:tc>
          <w:tcPr>
            <w:tcW w:type="dxa" w:w="3135"/>
            <w:vAlign w:val="center"/>
            <w:shd w:fill="FFFFFF"/>
          </w:tcPr>
          <w:p>
            <w:pPr>
              <w:spacing w:after="20" w:before="20"/>
              <w:jc w:val="left"/>
            </w:pPr>
            <w:r>
              <w:rPr>
                <w:rFonts w:ascii="Arial" w:hAnsi="Arial"/>
                <w:color w:val="000000"/>
                <w:sz w:val="18"/>
              </w:rPr>
              <w:t>Antes de comercializar</w:t>
            </w:r>
          </w:p>
        </w:tc>
        <w:tc>
          <w:tcPr>
            <w:tcW w:type="dxa" w:w="3135"/>
            <w:vAlign w:val="center"/>
            <w:shd w:fill="FFFFFF"/>
          </w:tcPr>
          <w:p>
            <w:pPr>
              <w:spacing w:after="20" w:before="20"/>
              <w:jc w:val="left"/>
            </w:pPr>
            <w:r>
              <w:rPr>
                <w:rFonts w:ascii="Arial" w:hAnsi="Arial"/>
                <w:color w:val="000000"/>
                <w:sz w:val="18"/>
              </w:rPr>
              <w:t>SLA, seguridad, contratos, licitación y cotización formal</w:t>
            </w:r>
          </w:p>
        </w:tc>
        <w:tc>
          <w:tcPr>
            <w:tcW w:type="dxa" w:w="3135"/>
            <w:vAlign w:val="center"/>
            <w:shd w:fill="FFFFFF"/>
          </w:tcPr>
          <w:p>
            <w:pPr>
              <w:spacing w:after="20" w:before="20"/>
              <w:jc w:val="left"/>
            </w:pPr>
            <w:r>
              <w:rPr>
                <w:rFonts w:ascii="Arial" w:hAnsi="Arial"/>
                <w:color w:val="000000"/>
                <w:sz w:val="18"/>
              </w:rPr>
              <w:t>Tarifario final y flujo de caja mensual</w:t>
            </w:r>
          </w:p>
        </w:tc>
      </w:tr>
    </w:tbl>
    <w:p>
      <w:pPr>
        <w:spacing w:after="0"/>
        <w:jc w:val="both"/>
      </w:pPr>
    </w:p>
    <w:p>
      <w:pPr>
        <w:jc w:val="both"/>
      </w:pPr>
      <w:r>
        <w:rPr>
          <w:rFonts w:ascii="Arial" w:hAnsi="Arial"/>
          <w:color w:val="000000"/>
          <w:sz w:val="21"/>
        </w:rPr>
        <w:t>El equipo técnico gestionará la demostración funcional. Este plan identifica las mediciones necesarias para convertir el presupuesto preliminar en una cotización respaldada cuando la aplicación esté terminada. No se afirma que el requisito académico de 75 % de avance esté demostrado sin una matriz de evidencias, ni se garantiza una cantidad de juntas o una disponibilidad contractual antes de ejecutar las pruebas.</w:t>
      </w:r>
    </w:p>
    <w:p>
      <w:pPr>
        <w:pStyle w:val="Heading1"/>
        <w:spacing w:before="200" w:after="100"/>
        <w:jc w:val="left"/>
      </w:pPr>
      <w:r>
        <w:rPr>
          <w:rFonts w:ascii="Arial" w:hAnsi="Arial"/>
          <w:color w:val="000000"/>
        </w:rPr>
        <w:t>12. Condiciones comerciales y controles mínimos</w:t>
      </w:r>
    </w:p>
    <w:p>
      <w:pPr>
        <w:pStyle w:val="ListBullet"/>
        <w:jc w:val="both"/>
      </w:pPr>
      <w:r>
        <w:rPr>
          <w:rFonts w:ascii="Arial" w:hAnsi="Arial"/>
          <w:color w:val="000000"/>
        </w:rPr>
        <w:t>Cotización: especificar municipalidades, juntas, usuarios, almacenamiento, operaciones y horas de soporte incluidas, con criterios de aceptación.</w:t>
      </w:r>
    </w:p>
    <w:p>
      <w:pPr>
        <w:pStyle w:val="ListBullet"/>
        <w:jc w:val="both"/>
      </w:pPr>
      <w:r>
        <w:rPr>
          <w:rFonts w:ascii="Arial" w:hAnsi="Arial"/>
          <w:color w:val="000000"/>
        </w:rPr>
        <w:t>SLA: horario, canales, tiempos de respuesta, escalamiento, ventanas de mantenimiento, responsabilidades y objetivos de disponibilidad medibles.</w:t>
      </w:r>
    </w:p>
    <w:p>
      <w:pPr>
        <w:pStyle w:val="ListBullet"/>
        <w:jc w:val="both"/>
      </w:pPr>
      <w:r>
        <w:rPr>
          <w:rFonts w:ascii="Arial" w:hAnsi="Arial"/>
          <w:color w:val="000000"/>
        </w:rPr>
        <w:t>Datos personales: roles, aislamiento entre municipios, cifrado, finalidad del tratamiento, retención, controles para IA y respuesta ante incidentes.</w:t>
      </w:r>
    </w:p>
    <w:p>
      <w:pPr>
        <w:pStyle w:val="ListBullet"/>
        <w:jc w:val="both"/>
      </w:pPr>
      <w:r>
        <w:rPr>
          <w:rFonts w:ascii="Arial" w:hAnsi="Arial"/>
          <w:color w:val="000000"/>
        </w:rPr>
        <w:t>Cambios de alcance: integraciones, nuevos módulos, migraciones especiales, desplazamientos y consumos superiores se valorizan por orden de cambio.</w:t>
      </w:r>
    </w:p>
    <w:p>
      <w:pPr>
        <w:pStyle w:val="ListBullet"/>
        <w:jc w:val="both"/>
      </w:pPr>
      <w:r>
        <w:rPr>
          <w:rFonts w:ascii="Arial" w:hAnsi="Arial"/>
          <w:color w:val="000000"/>
        </w:rPr>
        <w:t>Contratación municipal: validar bases de licitación, garantías, formalización de proveedor y pago efectivo; no confundir ingreso facturado con caja disponible.</w:t>
      </w:r>
    </w:p>
    <w:p>
      <w:pPr>
        <w:pStyle w:val="ListBullet"/>
        <w:jc w:val="both"/>
      </w:pPr>
      <w:r>
        <w:rPr>
          <w:rFonts w:ascii="Arial" w:hAnsi="Arial"/>
          <w:color w:val="000000"/>
        </w:rPr>
        <w:t>Reservar caja para al menos tres meses de costo operacional y considerar períodos de implementación sin ingresos recurrentes.</w:t>
      </w:r>
    </w:p>
    <w:p>
      <w:pPr>
        <w:pStyle w:val="Heading1"/>
        <w:spacing w:before="200" w:after="100"/>
        <w:jc w:val="left"/>
      </w:pPr>
      <w:r>
        <w:rPr>
          <w:rFonts w:ascii="Arial" w:hAnsi="Arial"/>
          <w:color w:val="000000"/>
        </w:rPr>
        <w:t>13. Conclusiones de la evaluación económica</w:t>
      </w:r>
    </w:p>
    <w:p>
      <w:pPr>
        <w:jc w:val="both"/>
      </w:pPr>
      <w:r>
        <w:rPr>
          <w:rFonts w:ascii="Arial" w:hAnsi="Arial"/>
          <w:color w:val="000000"/>
          <w:sz w:val="21"/>
        </w:rPr>
        <w:t>La propuesta económica de APT contempla una plataforma de gestión comunitaria comercializable mediante suscripción SaaS municipal o instalación local On-Premise. En el escenario SaaS considerado, la tarifa mensual neta propuesta es de $1.200.000 + IVA por municipalidad, frente a un costo operativo mensual presupuestado de $735.000 para el primer contrato. La diferencia de $465.000 constituye un margen de contribución estimado, no una utilidad neta. La estructura de servicio debe definirse en contrato, con límites de juntas, usuarios, almacenamiento, uso de IA y soporte.</w:t>
      </w:r>
    </w:p>
    <w:p>
      <w:pPr>
        <w:jc w:val="both"/>
      </w:pPr>
      <w:r>
        <w:rPr>
          <w:rFonts w:ascii="Arial" w:hAnsi="Arial"/>
          <w:color w:val="000000"/>
          <w:sz w:val="21"/>
        </w:rPr>
        <w:t>La proyección a tres años presenta un resultado acumulado positivo de $32.760.000, antes de impuestos sobre la renta y de partidas adicionales aún no cuantificadas, y sujeto al cumplimiento del calendario de contrataciones y los costos supuestos. Por ello, constituye un escenario financiero referencial, no una promesa de ganancias. La cotización vinculante y la cantidad de juntas incluidas se definirán después de completar el backend, realizar pruebas de capacidad, obtener ofertas de proveedores y validar los costos laborales y comerciales.</w:t>
      </w:r>
    </w:p>
    <w:p>
      <w:pPr>
        <w:pStyle w:val="Heading1"/>
        <w:spacing w:before="200" w:after="100"/>
        <w:jc w:val="left"/>
      </w:pPr>
      <w:r>
        <w:rPr>
          <w:rFonts w:ascii="Arial" w:hAnsi="Arial"/>
          <w:color w:val="000000"/>
        </w:rPr>
        <w:t>14. Referencias y respaldo documental</w:t>
      </w:r>
    </w:p>
    <w:p>
      <w:pPr>
        <w:pStyle w:val="ListBullet"/>
        <w:jc w:val="both"/>
      </w:pPr>
      <w:r>
        <w:rPr>
          <w:rFonts w:ascii="Arial" w:hAnsi="Arial"/>
          <w:color w:val="000000"/>
        </w:rPr>
        <w:t>Equipo APT. Informe de Ingeniería Económica y Modelos de Adquisición (antecedente de cálculo de horas y licenciamiento, 2026).</w:t>
      </w:r>
    </w:p>
    <w:p>
      <w:pPr>
        <w:pStyle w:val="ListBullet"/>
        <w:jc w:val="both"/>
      </w:pPr>
      <w:r>
        <w:rPr>
          <w:rFonts w:ascii="Arial" w:hAnsi="Arial"/>
          <w:color w:val="000000"/>
        </w:rPr>
        <w:t>Equipo APT. Documento de Arquitectura de Sistema (DAS), versión 1.1 (2026).</w:t>
      </w:r>
    </w:p>
    <w:p>
      <w:pPr>
        <w:pStyle w:val="ListBullet"/>
        <w:jc w:val="both"/>
      </w:pPr>
      <w:r>
        <w:rPr>
          <w:rFonts w:ascii="Arial" w:hAnsi="Arial"/>
          <w:color w:val="000000"/>
        </w:rPr>
        <w:t>Equipo APT. Informe de Procesos de Negocio TO-BE (2026).</w:t>
      </w:r>
    </w:p>
    <w:p>
      <w:pPr>
        <w:pStyle w:val="ListBullet"/>
        <w:jc w:val="both"/>
      </w:pPr>
      <w:r>
        <w:rPr>
          <w:rFonts w:ascii="Arial" w:hAnsi="Arial"/>
          <w:color w:val="000000"/>
        </w:rPr>
        <w:t>Equipo APT. Definición del Proyecto APT, Capstone, Fase 1 (2026).</w:t>
      </w:r>
    </w:p>
    <w:p>
      <w:pPr>
        <w:pStyle w:val="ListBullet"/>
        <w:jc w:val="both"/>
      </w:pPr>
      <w:r>
        <w:rPr>
          <w:rFonts w:ascii="Arial" w:hAnsi="Arial"/>
          <w:color w:val="000000"/>
        </w:rPr>
        <w:t>DigitalOcean. Tarifas de Droplets: https://www.digitalocean.com/pricing/droplets</w:t>
      </w:r>
    </w:p>
    <w:p>
      <w:pPr>
        <w:pStyle w:val="ListBullet"/>
        <w:jc w:val="both"/>
      </w:pPr>
      <w:r>
        <w:rPr>
          <w:rFonts w:ascii="Arial" w:hAnsi="Arial"/>
          <w:color w:val="000000"/>
        </w:rPr>
        <w:t>DigitalOcean. Tarifas MySQL: https://docs.digitalocean.com/products/databases/mysql/details/pricing/</w:t>
      </w:r>
    </w:p>
    <w:p>
      <w:pPr>
        <w:pStyle w:val="ListBullet"/>
        <w:jc w:val="both"/>
      </w:pPr>
      <w:r>
        <w:rPr>
          <w:rFonts w:ascii="Arial" w:hAnsi="Arial"/>
          <w:color w:val="000000"/>
        </w:rPr>
        <w:t>DigitalOcean. Spaces: https://www.digitalocean.com/pricing/spaces-object-storage</w:t>
      </w:r>
    </w:p>
    <w:p>
      <w:pPr>
        <w:pStyle w:val="ListBullet"/>
        <w:jc w:val="both"/>
      </w:pPr>
      <w:r>
        <w:rPr>
          <w:rFonts w:ascii="Arial" w:hAnsi="Arial"/>
          <w:color w:val="000000"/>
        </w:rPr>
        <w:t>Google AI for Developers. Gemini API Pricing: https://ai.google.dev/gemini-api/docs/pricing</w:t>
      </w:r>
    </w:p>
    <w:p>
      <w:pPr>
        <w:pStyle w:val="ListBullet"/>
        <w:jc w:val="both"/>
      </w:pPr>
      <w:r>
        <w:rPr>
          <w:rFonts w:ascii="Arial" w:hAnsi="Arial"/>
          <w:color w:val="000000"/>
        </w:rPr>
        <w:t>ChileCompra. Normativa: https://www.chilecompra.cl/normativa/; SII: https://www.sii.cl/</w:t>
      </w:r>
    </w:p>
    <w:p>
      <w:pPr>
        <w:jc w:val="both"/>
      </w:pPr>
      <w:r>
        <w:rPr>
          <w:rFonts w:ascii="Arial" w:hAnsi="Arial"/>
          <w:b/>
          <w:color w:val="000000"/>
          <w:sz w:val="21"/>
        </w:rPr>
        <w:t>NOTA METODOLÓGICA: las tarifas corresponden a precios netos propuestos para evaluación académica y requieren confirmar cotizaciones, alcance, capacidad técnica y condiciones de contratación antes de ser ofertadas a una municipalidad.</w:t>
      </w:r>
      <w:r>
        <w:rPr>
          <w:rFonts w:ascii="Arial" w:hAnsi="Arial"/>
          <w:color w:val="000000"/>
          <w:sz w:val="21"/>
        </w:rPr>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rPr>
        <w:rFonts w:ascii="Arial" w:hAnsi="Arial"/>
        <w:color w:val="000000"/>
        <w:sz w:val="16"/>
      </w:rPr>
      <w:t>APT · Evaluación económica y propuesta comercial · Octubre 2026  |  Documento referencial para segunda defensa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6"/>
      </w:rPr>
      <w:t>DUOC UC   |   CAPSTONE INGENIERÍA INFORMÁTICA   |   PROYECTO 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Económica y Propuesta de Adquisición de la Plataforma de Gestión de Juntas de Vecinos</dc:title>
  <dc:subject>Segunda defensa Capstone - primera presentación de evaluación económica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