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652F0CEF" w:rsidR="00BD1C7A" w:rsidRDefault="00BD1C7A" w:rsidP="00CC6A6D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</w:t>
      </w:r>
      <w:r w:rsidR="000A3F0A">
        <w:rPr>
          <w:rStyle w:val="Hyperlink"/>
          <w:rFonts w:cs="Times New Roman"/>
          <w:color w:val="auto"/>
          <w:u w:val="none"/>
        </w:rPr>
        <w:t>raw</w:t>
      </w:r>
      <w:r w:rsidRPr="00BD1C7A">
        <w:rPr>
          <w:rStyle w:val="Hyperlink"/>
          <w:rFonts w:cs="Times New Roman"/>
          <w:color w:val="auto"/>
          <w:u w:val="none"/>
        </w:rPr>
        <w:t xml:space="preserve"> </w:t>
      </w:r>
      <w:r w:rsidRPr="00411523">
        <w:t>data and code that replicates tables and figures for the following paper:</w:t>
      </w:r>
    </w:p>
    <w:p w14:paraId="3DEC1669" w14:textId="347B55C5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3F0A" w:rsidRPr="000A3F0A">
        <w:t>Repeated information of benefits reduce COVID-19 vaccination hesitancy: Experimental evidence from Germany</w:t>
      </w:r>
    </w:p>
    <w:p w14:paraId="4D2E5775" w14:textId="3D2900F6" w:rsidR="00BD1C7A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="000A3F0A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0A3F0A" w:rsidRPr="000A3F0A">
        <w:rPr>
          <w:rStyle w:val="Fett"/>
          <w:rFonts w:cs="Times New Roman"/>
          <w:b w:val="0"/>
          <w:color w:val="24292F"/>
          <w:shd w:val="clear" w:color="auto" w:fill="FFFFFF"/>
        </w:rPr>
        <w:t>Max Burger</w:t>
      </w:r>
      <w:r w:rsidR="000A3F0A" w:rsidRPr="000A3F0A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1,*</w:t>
      </w:r>
      <w:r w:rsidR="000A3F0A" w:rsidRPr="000A3F0A">
        <w:rPr>
          <w:rStyle w:val="Fett"/>
          <w:rFonts w:cs="Times New Roman"/>
          <w:b w:val="0"/>
          <w:color w:val="24292F"/>
          <w:shd w:val="clear" w:color="auto" w:fill="FFFFFF"/>
        </w:rPr>
        <w:t>, Matthias Mayer</w:t>
      </w:r>
      <w:r w:rsidR="000A3F0A" w:rsidRPr="000A3F0A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</w:t>
      </w:r>
      <w:r w:rsidR="000A3F0A" w:rsidRPr="000A3F0A">
        <w:rPr>
          <w:rStyle w:val="Fett"/>
          <w:rFonts w:cs="Times New Roman"/>
          <w:b w:val="0"/>
          <w:color w:val="24292F"/>
          <w:shd w:val="clear" w:color="auto" w:fill="FFFFFF"/>
        </w:rPr>
        <w:t xml:space="preserve"> &amp;</w:t>
      </w:r>
      <w:r w:rsidRPr="00BD1C7A">
        <w:rPr>
          <w:rFonts w:cs="Times New Roman"/>
          <w:shd w:val="clear" w:color="auto" w:fill="FFFFFF"/>
        </w:rPr>
        <w:t> Ivo Steimanis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Pr="00BD1C7A">
        <w:rPr>
          <w:rFonts w:cs="Times New Roman"/>
          <w:shd w:val="clear" w:color="auto" w:fill="FFFFFF"/>
        </w:rPr>
        <w:t> 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  <w:shd w:val="clear" w:color="auto" w:fill="FFFFFF"/>
        </w:rPr>
        <w:t> Department of Economics, Philipps University Marburg, 35032 Marburg, Germany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*Correspondence to:</w:t>
      </w:r>
      <w:r w:rsidRPr="00BD1C7A">
        <w:rPr>
          <w:rFonts w:cs="Times New Roman"/>
          <w:shd w:val="clear" w:color="auto" w:fill="FFFFFF"/>
        </w:rPr>
        <w:t> </w:t>
      </w:r>
      <w:r w:rsidR="000A3F0A">
        <w:rPr>
          <w:rFonts w:cs="Times New Roman"/>
          <w:shd w:val="clear" w:color="auto" w:fill="FFFFFF"/>
        </w:rPr>
        <w:t>Max Burger</w:t>
      </w:r>
      <w:r w:rsidRPr="00BD1C7A">
        <w:rPr>
          <w:rFonts w:cs="Times New Roman"/>
          <w:shd w:val="clear" w:color="auto" w:fill="FFFFFF"/>
        </w:rPr>
        <w:t> </w:t>
      </w:r>
      <w:hyperlink r:id="rId8" w:history="1">
        <w:r w:rsidR="000A3F0A" w:rsidRPr="001754FB">
          <w:rPr>
            <w:rStyle w:val="Hyperlink"/>
            <w:rFonts w:cs="Times New Roman"/>
            <w:shd w:val="clear" w:color="auto" w:fill="FFFFFF"/>
          </w:rPr>
          <w:t>maximilian.burger@wiwi.uni-marburg.de</w:t>
        </w:r>
      </w:hyperlink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ORCID:</w:t>
      </w:r>
      <w:r w:rsidR="000A3F0A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0A3F0A" w:rsidRPr="00AF6E76">
        <w:rPr>
          <w:iCs/>
        </w:rPr>
        <w:t>Burger: 0000-0003-2334-3885</w:t>
      </w:r>
      <w:r w:rsidR="000A3F0A">
        <w:rPr>
          <w:iCs/>
        </w:rPr>
        <w:t>,</w:t>
      </w:r>
      <w:r w:rsidR="000A3F0A" w:rsidRPr="00CD0AE7">
        <w:rPr>
          <w:rFonts w:cs="Times New Roman"/>
          <w:sz w:val="20"/>
          <w:szCs w:val="20"/>
        </w:rPr>
        <w:t xml:space="preserve"> </w:t>
      </w:r>
      <w:r w:rsidR="000A3F0A" w:rsidRPr="00AF6E76">
        <w:rPr>
          <w:rFonts w:cs="Times New Roman"/>
          <w:sz w:val="20"/>
          <w:szCs w:val="20"/>
        </w:rPr>
        <w:t xml:space="preserve">Mayer: </w:t>
      </w:r>
      <w:r w:rsidR="000A3F0A" w:rsidRPr="00AF6E76">
        <w:rPr>
          <w:iCs/>
        </w:rPr>
        <w:t>0000-0003-</w:t>
      </w:r>
      <w:r w:rsidR="000A3F0A" w:rsidRPr="005C3BB6">
        <w:rPr>
          <w:iCs/>
        </w:rPr>
        <w:t>0323-9124</w:t>
      </w:r>
      <w:r w:rsidR="000A3F0A">
        <w:rPr>
          <w:rStyle w:val="Fett"/>
          <w:rFonts w:cs="Times New Roman"/>
          <w:b w:val="0"/>
          <w:color w:val="24292F"/>
          <w:shd w:val="clear" w:color="auto" w:fill="FFFFFF"/>
        </w:rPr>
        <w:t>,</w:t>
      </w:r>
      <w:r w:rsidRPr="00BD1C7A">
        <w:rPr>
          <w:rFonts w:cs="Times New Roman"/>
          <w:shd w:val="clear" w:color="auto" w:fill="FFFFFF"/>
        </w:rPr>
        <w:t> Steimanis: 0000-0002-8550-4675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Classification:</w:t>
      </w:r>
      <w:r w:rsidRPr="00BD1C7A">
        <w:rPr>
          <w:rFonts w:cs="Times New Roman"/>
          <w:shd w:val="clear" w:color="auto" w:fill="FFFFFF"/>
        </w:rPr>
        <w:t> Social Sciences, Economic Sciences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Keywords:</w:t>
      </w:r>
      <w:r w:rsidRPr="00BD1C7A">
        <w:rPr>
          <w:rFonts w:cs="Times New Roman"/>
          <w:shd w:val="clear" w:color="auto" w:fill="FFFFFF"/>
        </w:rPr>
        <w:t> </w:t>
      </w:r>
      <w:r w:rsidR="000A3F0A" w:rsidRPr="00971D1B">
        <w:rPr>
          <w:iCs/>
        </w:rPr>
        <w:t>Vaccination</w:t>
      </w:r>
      <w:r w:rsidR="000A3F0A">
        <w:rPr>
          <w:iCs/>
        </w:rPr>
        <w:t xml:space="preserve"> hesitancy, vaccination intentions, </w:t>
      </w:r>
      <w:r w:rsidR="000A3F0A" w:rsidRPr="000E0E17">
        <w:t>vaccination action</w:t>
      </w:r>
      <w:r w:rsidR="000A3F0A">
        <w:rPr>
          <w:iCs/>
        </w:rPr>
        <w:t>, survey experiment, repeated information</w:t>
      </w:r>
    </w:p>
    <w:p w14:paraId="23F9B265" w14:textId="77777777" w:rsidR="00BD1C7A" w:rsidRPr="00BD1C7A" w:rsidRDefault="00BD1C7A" w:rsidP="00BD1C7A">
      <w:pPr>
        <w:rPr>
          <w:rFonts w:cs="Times New Roman"/>
          <w:shd w:val="clear" w:color="auto" w:fill="FFFFFF"/>
        </w:rPr>
      </w:pPr>
    </w:p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</w:t>
      </w:r>
      <w:proofErr w:type="gramStart"/>
      <w:r>
        <w:t>are licensed</w:t>
      </w:r>
      <w:proofErr w:type="gramEnd"/>
      <w:r>
        <w:t xml:space="preserve">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</w:t>
      </w:r>
      <w:proofErr w:type="gramStart"/>
      <w:r w:rsidRPr="00603544">
        <w:t>is licensed</w:t>
      </w:r>
      <w:proofErr w:type="gramEnd"/>
      <w:r w:rsidRPr="00603544">
        <w:t xml:space="preserve">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</w:t>
      </w:r>
      <w:proofErr w:type="gramStart"/>
      <w:r>
        <w:t>were done</w:t>
      </w:r>
      <w:proofErr w:type="gramEnd"/>
      <w:r>
        <w:t xml:space="preserve"> in </w:t>
      </w:r>
      <w:r w:rsidR="007E07CA" w:rsidRPr="00411523">
        <w:t xml:space="preserve">Stata version </w:t>
      </w:r>
      <w:r>
        <w:t>16:</w:t>
      </w:r>
    </w:p>
    <w:p w14:paraId="387A4491" w14:textId="3CB86BCF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</w:t>
      </w:r>
      <w:proofErr w:type="gramStart"/>
      <w:r w:rsidRPr="00411523">
        <w:t>are included</w:t>
      </w:r>
      <w:proofErr w:type="gramEnd"/>
      <w:r w:rsidRPr="00411523">
        <w:t xml:space="preserve">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</w:t>
      </w:r>
      <w:r w:rsidR="000A3F0A">
        <w:t xml:space="preserve"> the</w:t>
      </w:r>
      <w:r>
        <w:t xml:space="preserve">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431C64E2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0A3F0A">
        <w:t>PLOS</w:t>
      </w:r>
      <w:proofErr w:type="spellEnd"/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64A6CAA" w:rsidR="000D477F" w:rsidRPr="00C3256D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55F91BDA" w14:textId="2BC50B80" w:rsidR="00C83590" w:rsidRDefault="00391BA6" w:rsidP="00C83590">
      <w:pPr>
        <w:pStyle w:val="Listenabsatz"/>
        <w:numPr>
          <w:ilvl w:val="0"/>
          <w:numId w:val="3"/>
        </w:numPr>
      </w:pPr>
      <w:r>
        <w:t xml:space="preserve">Wave 1 – Survey experiment: </w:t>
      </w:r>
      <w:r w:rsidRPr="00391BA6">
        <w:rPr>
          <w:b/>
        </w:rPr>
        <w:t>‘wave1_survey_experiment</w:t>
      </w:r>
      <w:r w:rsidR="009D4B3F">
        <w:rPr>
          <w:b/>
        </w:rPr>
        <w:t>_raw</w:t>
      </w:r>
      <w:r w:rsidRPr="00391BA6">
        <w:rPr>
          <w:b/>
        </w:rPr>
        <w:t>.</w:t>
      </w:r>
      <w:r w:rsidR="009D4B3F">
        <w:rPr>
          <w:b/>
        </w:rPr>
        <w:t>dta</w:t>
      </w:r>
      <w:r w:rsidRPr="00391BA6">
        <w:rPr>
          <w:b/>
        </w:rPr>
        <w:t>’</w:t>
      </w:r>
    </w:p>
    <w:p w14:paraId="2627F649" w14:textId="71537C53" w:rsidR="00391BA6" w:rsidRPr="00CC6A6D" w:rsidRDefault="00391BA6" w:rsidP="00391BA6">
      <w:pPr>
        <w:pStyle w:val="Listenabsatz"/>
        <w:numPr>
          <w:ilvl w:val="0"/>
          <w:numId w:val="3"/>
        </w:numPr>
      </w:pPr>
      <w:r>
        <w:t xml:space="preserve">Wave 2 – Follow-up Survey: </w:t>
      </w:r>
      <w:r w:rsidRPr="00391BA6">
        <w:rPr>
          <w:b/>
        </w:rPr>
        <w:t>‘wave</w:t>
      </w:r>
      <w:r>
        <w:rPr>
          <w:b/>
        </w:rPr>
        <w:t>2</w:t>
      </w:r>
      <w:r w:rsidRPr="00391BA6">
        <w:rPr>
          <w:b/>
        </w:rPr>
        <w:t>_</w:t>
      </w:r>
      <w:r>
        <w:rPr>
          <w:b/>
        </w:rPr>
        <w:t>follow_up</w:t>
      </w:r>
      <w:r w:rsidR="009D4B3F">
        <w:rPr>
          <w:b/>
        </w:rPr>
        <w:t>_raw</w:t>
      </w:r>
      <w:r w:rsidRPr="00391BA6">
        <w:rPr>
          <w:b/>
        </w:rPr>
        <w:t>.</w:t>
      </w:r>
      <w:r w:rsidR="009D4B3F">
        <w:rPr>
          <w:b/>
        </w:rPr>
        <w:t>dta</w:t>
      </w:r>
      <w:r w:rsidRPr="00391BA6">
        <w:rPr>
          <w:b/>
        </w:rPr>
        <w:t>’</w:t>
      </w:r>
    </w:p>
    <w:p w14:paraId="2E7E8BFA" w14:textId="1021F4CA" w:rsidR="00CC6A6D" w:rsidRPr="00391BA6" w:rsidRDefault="00CC6A6D" w:rsidP="00391BA6">
      <w:pPr>
        <w:pStyle w:val="Listenabsatz"/>
        <w:numPr>
          <w:ilvl w:val="0"/>
          <w:numId w:val="3"/>
        </w:numPr>
      </w:pPr>
      <w:r>
        <w:t xml:space="preserve">Map: </w:t>
      </w:r>
      <w:r w:rsidR="00CD4CE8">
        <w:t xml:space="preserve">shape-files </w:t>
      </w:r>
      <w:r w:rsidR="00CD4CE8" w:rsidRPr="00CD4CE8">
        <w:rPr>
          <w:b/>
        </w:rPr>
        <w:t>‘plz2stellig</w:t>
      </w:r>
      <w:r w:rsidR="00CD4CE8">
        <w:rPr>
          <w:b/>
        </w:rPr>
        <w:t>.shp</w:t>
      </w:r>
      <w:r w:rsidR="00CD4CE8" w:rsidRPr="00CD4CE8">
        <w:rPr>
          <w:b/>
        </w:rPr>
        <w:t>’</w:t>
      </w:r>
      <w:r w:rsidR="00CD4CE8">
        <w:rPr>
          <w:b/>
        </w:rPr>
        <w:t xml:space="preserve"> ‘</w:t>
      </w:r>
      <w:r w:rsidR="00CD4CE8" w:rsidRPr="00CD4CE8">
        <w:rPr>
          <w:b/>
        </w:rPr>
        <w:t>OSM_PLZ</w:t>
      </w:r>
      <w:r w:rsidR="00CD4CE8">
        <w:rPr>
          <w:b/>
        </w:rPr>
        <w:t>.shp’</w:t>
      </w:r>
      <w:r w:rsidR="00CD4CE8">
        <w:t xml:space="preserve">, area codes </w:t>
      </w:r>
      <w:r w:rsidR="00CD4CE8" w:rsidRPr="00CD4CE8">
        <w:rPr>
          <w:b/>
        </w:rPr>
        <w:t>‘Postleitzahlengebiete_-_OSM.csv’</w:t>
      </w:r>
      <w:r w:rsidR="00CD4CE8">
        <w:rPr>
          <w:b/>
        </w:rPr>
        <w:t xml:space="preserve">,  </w:t>
      </w:r>
      <w:r w:rsidRPr="00CC6A6D">
        <w:t xml:space="preserve">(all </w:t>
      </w:r>
      <w:r>
        <w:t xml:space="preserve">links to the </w:t>
      </w:r>
      <w:r w:rsidRPr="00CC6A6D">
        <w:t xml:space="preserve">sources can </w:t>
      </w:r>
      <w:proofErr w:type="gramStart"/>
      <w:r w:rsidRPr="00CC6A6D">
        <w:t>be found</w:t>
      </w:r>
      <w:proofErr w:type="gramEnd"/>
      <w:r w:rsidRPr="00CC6A6D">
        <w:t xml:space="preserve"> in the script ‘04_figure2_germany_map.do</w:t>
      </w:r>
      <w:r>
        <w:t>’</w:t>
      </w:r>
      <w:r w:rsidRPr="00CC6A6D">
        <w:t>)</w:t>
      </w:r>
    </w:p>
    <w:p w14:paraId="187D1E48" w14:textId="1C283D1F" w:rsidR="00391BA6" w:rsidRPr="00391BA6" w:rsidRDefault="00391BA6" w:rsidP="00391BA6">
      <w:pPr>
        <w:pStyle w:val="Listenabsatz"/>
        <w:numPr>
          <w:ilvl w:val="0"/>
          <w:numId w:val="3"/>
        </w:numPr>
      </w:pPr>
      <w:r w:rsidRPr="00391BA6">
        <w:t>Pretest:</w:t>
      </w:r>
      <w:r w:rsidRPr="00391BA6">
        <w:rPr>
          <w:b/>
        </w:rPr>
        <w:t xml:space="preserve"> ‘</w:t>
      </w:r>
      <w:r>
        <w:rPr>
          <w:b/>
        </w:rPr>
        <w:t>pre-test_corona.dta</w:t>
      </w:r>
      <w:r w:rsidRPr="00391BA6">
        <w:rPr>
          <w:b/>
        </w:rPr>
        <w:t>’</w:t>
      </w:r>
    </w:p>
    <w:p w14:paraId="1E66EF97" w14:textId="0B180490" w:rsidR="00391BA6" w:rsidRPr="00391BA6" w:rsidRDefault="00CC6A6D" w:rsidP="00391BA6">
      <w:pPr>
        <w:pStyle w:val="Listenabsatz"/>
        <w:numPr>
          <w:ilvl w:val="0"/>
          <w:numId w:val="3"/>
        </w:numPr>
        <w:rPr>
          <w:b/>
        </w:rPr>
      </w:pPr>
      <w:r w:rsidRPr="00CC6A6D">
        <w:t>For Appendix S7:</w:t>
      </w:r>
      <w:r>
        <w:rPr>
          <w:b/>
        </w:rPr>
        <w:t xml:space="preserve"> ‘</w:t>
      </w:r>
      <w:r w:rsidRPr="00CC6A6D">
        <w:rPr>
          <w:b/>
        </w:rPr>
        <w:t>alter_geschlecht_zensus_det.xlsx</w:t>
      </w:r>
      <w:r w:rsidR="00CD4CE8">
        <w:rPr>
          <w:b/>
        </w:rPr>
        <w:t>’</w:t>
      </w:r>
      <w:r>
        <w:rPr>
          <w:b/>
        </w:rPr>
        <w:t>, ‘</w:t>
      </w:r>
      <w:r w:rsidRPr="00CC6A6D">
        <w:rPr>
          <w:b/>
        </w:rPr>
        <w:t>vaccination_landkreis_raw</w:t>
      </w:r>
      <w:r>
        <w:rPr>
          <w:b/>
        </w:rPr>
        <w:t>.dta’</w:t>
      </w:r>
      <w:r>
        <w:rPr>
          <w:sz w:val="24"/>
          <w:szCs w:val="24"/>
        </w:rPr>
        <w:t xml:space="preserve">, </w:t>
      </w:r>
      <w:r w:rsidRPr="00CC6A6D">
        <w:rPr>
          <w:b/>
        </w:rPr>
        <w:t>‘census2020_age_gender.csv’</w:t>
      </w:r>
      <w:r>
        <w:rPr>
          <w:b/>
        </w:rPr>
        <w:t xml:space="preserve"> </w:t>
      </w:r>
      <w:r w:rsidRPr="00CC6A6D">
        <w:t xml:space="preserve">(all </w:t>
      </w:r>
      <w:r>
        <w:t xml:space="preserve">links to the </w:t>
      </w:r>
      <w:r w:rsidRPr="00CC6A6D">
        <w:t xml:space="preserve">sources can </w:t>
      </w:r>
      <w:proofErr w:type="gramStart"/>
      <w:r w:rsidRPr="00CC6A6D">
        <w:t>be found</w:t>
      </w:r>
      <w:proofErr w:type="gramEnd"/>
      <w:r w:rsidRPr="00CC6A6D">
        <w:t xml:space="preserve"> in the script ‘06_AppendixS7.do’)</w:t>
      </w:r>
    </w:p>
    <w:p w14:paraId="5DC713F3" w14:textId="12FBB07C" w:rsidR="000A3F0A" w:rsidRPr="00FF7196" w:rsidRDefault="00CD4CE8" w:rsidP="00CD4CE8">
      <w:pPr>
        <w:pStyle w:val="Listenabsatz"/>
        <w:numPr>
          <w:ilvl w:val="0"/>
          <w:numId w:val="3"/>
        </w:numPr>
      </w:pPr>
      <w:r w:rsidRPr="00CC6A6D">
        <w:t>For Appendix S</w:t>
      </w:r>
      <w:r>
        <w:t>10:</w:t>
      </w:r>
      <w:r>
        <w:rPr>
          <w:b/>
        </w:rPr>
        <w:t xml:space="preserve"> ‘</w:t>
      </w:r>
      <w:r w:rsidRPr="00CD4CE8">
        <w:rPr>
          <w:b/>
        </w:rPr>
        <w:t>vaccination_landkreis_raw</w:t>
      </w:r>
      <w:r>
        <w:rPr>
          <w:b/>
        </w:rPr>
        <w:t xml:space="preserve">.dta’ </w:t>
      </w:r>
      <w:r w:rsidRPr="00CC6A6D">
        <w:t xml:space="preserve">(all </w:t>
      </w:r>
      <w:r>
        <w:t xml:space="preserve">links to the </w:t>
      </w:r>
      <w:r w:rsidRPr="00CC6A6D">
        <w:t xml:space="preserve">sources can </w:t>
      </w:r>
      <w:proofErr w:type="gramStart"/>
      <w:r w:rsidRPr="00CC6A6D">
        <w:t>be found</w:t>
      </w:r>
      <w:proofErr w:type="gramEnd"/>
      <w:r w:rsidRPr="00CC6A6D">
        <w:t xml:space="preserve"> in the script ‘0</w:t>
      </w:r>
      <w:r>
        <w:t>7</w:t>
      </w:r>
      <w:r w:rsidRPr="00CC6A6D">
        <w:t>_</w:t>
      </w:r>
      <w:r>
        <w:t>AppendixS10.</w:t>
      </w:r>
      <w:r w:rsidRPr="00CC6A6D">
        <w:t>do</w:t>
      </w:r>
      <w:r>
        <w:t>’</w:t>
      </w:r>
      <w:r w:rsidRPr="00CC6A6D">
        <w:t>)</w:t>
      </w: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58D6D73A" w:rsidR="00976CAA" w:rsidRDefault="008D488F" w:rsidP="00976CAA">
      <w:r w:rsidRPr="008D488F">
        <w:rPr>
          <w:b/>
        </w:rPr>
        <w:t>1_1_clean_wave1</w:t>
      </w:r>
      <w:r w:rsidR="00A34827" w:rsidRPr="00411523">
        <w:rPr>
          <w:b/>
        </w:rPr>
        <w:t>.do</w:t>
      </w:r>
      <w:r w:rsidR="00A34827" w:rsidRPr="00411523">
        <w:t xml:space="preserve"> </w:t>
      </w:r>
    </w:p>
    <w:p w14:paraId="44F2A086" w14:textId="7AB44FFE" w:rsidR="00847286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data from </w:t>
      </w:r>
      <w:r w:rsidR="008D488F">
        <w:t>wave 1, the survey experiment</w:t>
      </w:r>
    </w:p>
    <w:p w14:paraId="3DA85B31" w14:textId="050919CF" w:rsidR="008D488F" w:rsidRDefault="008D488F" w:rsidP="008D488F">
      <w:r w:rsidRPr="008D488F">
        <w:rPr>
          <w:b/>
        </w:rPr>
        <w:t>1_</w:t>
      </w:r>
      <w:r>
        <w:rPr>
          <w:b/>
        </w:rPr>
        <w:t>2</w:t>
      </w:r>
      <w:r w:rsidRPr="008D488F">
        <w:rPr>
          <w:b/>
        </w:rPr>
        <w:t>_clean_wave</w:t>
      </w:r>
      <w:r>
        <w:rPr>
          <w:b/>
        </w:rPr>
        <w:t>2</w:t>
      </w:r>
      <w:r w:rsidRPr="00411523">
        <w:rPr>
          <w:b/>
        </w:rPr>
        <w:t>.do</w:t>
      </w:r>
      <w:r w:rsidRPr="00411523">
        <w:t xml:space="preserve"> </w:t>
      </w:r>
    </w:p>
    <w:p w14:paraId="7EBF4163" w14:textId="55A6CA86" w:rsidR="008D488F" w:rsidRPr="00411523" w:rsidRDefault="008D488F" w:rsidP="008D488F">
      <w:r>
        <w:t xml:space="preserve">This script </w:t>
      </w:r>
      <w:r w:rsidRPr="00224B76">
        <w:t xml:space="preserve">processes the </w:t>
      </w:r>
      <w:r>
        <w:t>raw data from wave 2, the follow-up survey</w:t>
      </w:r>
    </w:p>
    <w:p w14:paraId="122DF1D4" w14:textId="104BE580" w:rsidR="008D488F" w:rsidRDefault="008D488F" w:rsidP="008D488F">
      <w:r w:rsidRPr="008D488F">
        <w:rPr>
          <w:b/>
        </w:rPr>
        <w:t>1_</w:t>
      </w:r>
      <w:r>
        <w:rPr>
          <w:b/>
        </w:rPr>
        <w:t>3</w:t>
      </w:r>
      <w:r w:rsidRPr="008D488F">
        <w:rPr>
          <w:b/>
        </w:rPr>
        <w:t>_</w:t>
      </w:r>
      <w:r>
        <w:rPr>
          <w:b/>
        </w:rPr>
        <w:t>merge_generate</w:t>
      </w:r>
      <w:r w:rsidRPr="00411523">
        <w:rPr>
          <w:b/>
        </w:rPr>
        <w:t>.do</w:t>
      </w:r>
      <w:r w:rsidRPr="00411523">
        <w:t xml:space="preserve"> </w:t>
      </w:r>
    </w:p>
    <w:p w14:paraId="70EC8B49" w14:textId="439F69B3" w:rsidR="008D488F" w:rsidRPr="00411523" w:rsidRDefault="008D488F" w:rsidP="00976CAA">
      <w:r>
        <w:t>This script creates the datasets used in the main analysis and for robustness checks by merging the cleaned data from wave 1 and 2, tests the exclusion criteria and creates additional variables</w:t>
      </w:r>
    </w:p>
    <w:p w14:paraId="3B83F34C" w14:textId="0E32D571" w:rsidR="00976CAA" w:rsidRDefault="000D477F" w:rsidP="00976CAA">
      <w:r>
        <w:rPr>
          <w:b/>
        </w:rPr>
        <w:t>0</w:t>
      </w:r>
      <w:r w:rsidR="008D488F">
        <w:rPr>
          <w:b/>
        </w:rPr>
        <w:t>2</w:t>
      </w:r>
      <w:r w:rsidR="00847286" w:rsidRPr="00411523">
        <w:rPr>
          <w:b/>
        </w:rPr>
        <w:t>_</w:t>
      </w:r>
      <w:r w:rsidR="000A3F0A"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4F32F8F6" w:rsidR="000C33F4" w:rsidRDefault="000D477F" w:rsidP="000D477F">
      <w:pPr>
        <w:rPr>
          <w:b/>
        </w:rPr>
      </w:pPr>
      <w:r>
        <w:lastRenderedPageBreak/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results/tables</w:t>
      </w:r>
    </w:p>
    <w:p w14:paraId="7185D5F2" w14:textId="2213E253" w:rsidR="008D488F" w:rsidRDefault="008D488F" w:rsidP="000D477F">
      <w:pPr>
        <w:rPr>
          <w:b/>
        </w:rPr>
      </w:pPr>
      <w:r w:rsidRPr="008D488F">
        <w:rPr>
          <w:b/>
        </w:rPr>
        <w:t>03_robustness_checks_no_exclusion</w:t>
      </w:r>
      <w:r>
        <w:rPr>
          <w:b/>
        </w:rPr>
        <w:t>.do</w:t>
      </w:r>
    </w:p>
    <w:p w14:paraId="6FDE52E8" w14:textId="490D630E" w:rsidR="008D488F" w:rsidRPr="008D488F" w:rsidRDefault="008D488F" w:rsidP="000D477F">
      <w:pPr>
        <w:rPr>
          <w:b/>
          <w:bCs/>
        </w:rPr>
      </w:pPr>
      <w:r>
        <w:rPr>
          <w:bCs/>
        </w:rPr>
        <w:t xml:space="preserve">This script runs the main analysis using the dataset without applying the exclusion criteria. Results </w:t>
      </w:r>
      <w:proofErr w:type="gramStart"/>
      <w:r>
        <w:rPr>
          <w:bCs/>
        </w:rPr>
        <w:t>are saved</w:t>
      </w:r>
      <w:proofErr w:type="gramEnd"/>
      <w:r>
        <w:rPr>
          <w:bCs/>
        </w:rPr>
        <w:t xml:space="preserve"> in </w:t>
      </w:r>
      <w:r>
        <w:rPr>
          <w:b/>
          <w:bCs/>
        </w:rPr>
        <w:t>results/tables</w:t>
      </w:r>
    </w:p>
    <w:p w14:paraId="661C659B" w14:textId="75281123" w:rsidR="000A3F0A" w:rsidRDefault="000A3F0A" w:rsidP="000A3F0A">
      <w:r>
        <w:rPr>
          <w:b/>
        </w:rPr>
        <w:t>0</w:t>
      </w:r>
      <w:r w:rsidR="008D488F">
        <w:rPr>
          <w:b/>
        </w:rPr>
        <w:t>4</w:t>
      </w:r>
      <w:r w:rsidRPr="00411523">
        <w:rPr>
          <w:b/>
        </w:rPr>
        <w:t>_</w:t>
      </w:r>
      <w:r>
        <w:rPr>
          <w:b/>
        </w:rPr>
        <w:t>figure2_germany_map</w:t>
      </w:r>
      <w:r w:rsidRPr="00411523">
        <w:rPr>
          <w:b/>
        </w:rPr>
        <w:t>.do</w:t>
      </w:r>
      <w:r w:rsidRPr="00411523">
        <w:t xml:space="preserve"> </w:t>
      </w:r>
    </w:p>
    <w:p w14:paraId="6A72CB24" w14:textId="579BF1C0" w:rsidR="000A3F0A" w:rsidRDefault="000A3F0A" w:rsidP="000A3F0A">
      <w:r>
        <w:t xml:space="preserve">This script </w:t>
      </w:r>
      <w:r w:rsidR="00B021A0">
        <w:t>creates Figure 2 in the main manuscript using publicly available data on vaccination numbers in Germany.</w:t>
      </w:r>
    </w:p>
    <w:p w14:paraId="63F98355" w14:textId="2514DD2A" w:rsidR="008D488F" w:rsidRDefault="008D488F" w:rsidP="008D488F">
      <w:r w:rsidRPr="008D488F">
        <w:rPr>
          <w:b/>
        </w:rPr>
        <w:t>05_figureS1_dogmatism_scale</w:t>
      </w:r>
      <w:r w:rsidRPr="00411523">
        <w:rPr>
          <w:b/>
        </w:rPr>
        <w:t>.do</w:t>
      </w:r>
      <w:r w:rsidRPr="00411523">
        <w:t xml:space="preserve"> </w:t>
      </w:r>
    </w:p>
    <w:p w14:paraId="3DA3C900" w14:textId="1F251B41" w:rsidR="008D488F" w:rsidRDefault="008D488F" w:rsidP="008D488F">
      <w:r>
        <w:t>This script creates Figure S1 using data from a pretest to adjust the dogmatism scale.</w:t>
      </w:r>
    </w:p>
    <w:p w14:paraId="47A96606" w14:textId="060F511A" w:rsidR="008D488F" w:rsidRDefault="00391BA6" w:rsidP="008D488F">
      <w:r w:rsidRPr="00391BA6">
        <w:rPr>
          <w:b/>
        </w:rPr>
        <w:t>06_AppendixS7</w:t>
      </w:r>
      <w:r>
        <w:rPr>
          <w:b/>
        </w:rPr>
        <w:t>.</w:t>
      </w:r>
      <w:r w:rsidR="008D488F" w:rsidRPr="00411523">
        <w:rPr>
          <w:b/>
        </w:rPr>
        <w:t>do</w:t>
      </w:r>
      <w:r w:rsidR="008D488F" w:rsidRPr="00411523">
        <w:t xml:space="preserve"> </w:t>
      </w:r>
    </w:p>
    <w:p w14:paraId="48BBD0B7" w14:textId="5A8C2F94" w:rsidR="008D488F" w:rsidRDefault="008D488F" w:rsidP="008D488F">
      <w:r>
        <w:t xml:space="preserve">This script creates </w:t>
      </w:r>
      <w:r w:rsidR="00391BA6">
        <w:t>the figures and tables provided in Appendix S7 on the representativity of our sample compared to the German average u</w:t>
      </w:r>
      <w:r>
        <w:t xml:space="preserve">sing </w:t>
      </w:r>
      <w:r w:rsidR="00391BA6">
        <w:t>publicly available data about the age distribution in Germany</w:t>
      </w:r>
      <w:r>
        <w:t>.</w:t>
      </w:r>
    </w:p>
    <w:p w14:paraId="72CF5062" w14:textId="0C2242EB" w:rsidR="00391BA6" w:rsidRDefault="00391BA6" w:rsidP="00391BA6">
      <w:r w:rsidRPr="00391BA6">
        <w:rPr>
          <w:b/>
        </w:rPr>
        <w:t>07_AppendixS10</w:t>
      </w:r>
      <w:r>
        <w:rPr>
          <w:b/>
        </w:rPr>
        <w:t>.</w:t>
      </w:r>
      <w:r w:rsidRPr="00411523">
        <w:rPr>
          <w:b/>
        </w:rPr>
        <w:t>do</w:t>
      </w:r>
      <w:r w:rsidRPr="00411523">
        <w:t xml:space="preserve"> </w:t>
      </w:r>
    </w:p>
    <w:p w14:paraId="164BC726" w14:textId="7BC0E6E3" w:rsidR="00391BA6" w:rsidRDefault="00391BA6" w:rsidP="00391BA6">
      <w:r>
        <w:t>This script creates the figures and tables provided in Appendix S10 on the external validity of vaccination rates in our sample using publicly available data on vaccination numbers in Germany.</w:t>
      </w:r>
    </w:p>
    <w:p w14:paraId="61682138" w14:textId="77777777" w:rsidR="00391BA6" w:rsidRDefault="00391BA6" w:rsidP="008D488F"/>
    <w:p w14:paraId="6D935178" w14:textId="77777777" w:rsidR="008D488F" w:rsidRDefault="008D488F" w:rsidP="008D488F"/>
    <w:p w14:paraId="1496459E" w14:textId="77777777" w:rsidR="008D488F" w:rsidRPr="000D477F" w:rsidRDefault="008D488F" w:rsidP="000A3F0A"/>
    <w:p w14:paraId="1AC3D704" w14:textId="0B0E150E" w:rsidR="000A3F0A" w:rsidRPr="000D477F" w:rsidRDefault="000A3F0A" w:rsidP="00C3256D">
      <w:pPr>
        <w:spacing w:after="160"/>
      </w:pPr>
    </w:p>
    <w:sectPr w:rsidR="000A3F0A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E0F7" w14:textId="77777777" w:rsidR="00034747" w:rsidRDefault="00034747" w:rsidP="00195989">
      <w:pPr>
        <w:spacing w:after="0" w:line="240" w:lineRule="auto"/>
      </w:pPr>
      <w:r>
        <w:separator/>
      </w:r>
    </w:p>
  </w:endnote>
  <w:endnote w:type="continuationSeparator" w:id="0">
    <w:p w14:paraId="37FC38F0" w14:textId="77777777" w:rsidR="00034747" w:rsidRDefault="00034747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BF04" w14:textId="77777777" w:rsidR="00034747" w:rsidRDefault="00034747" w:rsidP="00195989">
      <w:pPr>
        <w:spacing w:after="0" w:line="240" w:lineRule="auto"/>
      </w:pPr>
      <w:r>
        <w:separator/>
      </w:r>
    </w:p>
  </w:footnote>
  <w:footnote w:type="continuationSeparator" w:id="0">
    <w:p w14:paraId="311AB714" w14:textId="77777777" w:rsidR="00034747" w:rsidRDefault="00034747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11B7"/>
    <w:rsid w:val="00002FA8"/>
    <w:rsid w:val="0001038A"/>
    <w:rsid w:val="000172C4"/>
    <w:rsid w:val="00022D5D"/>
    <w:rsid w:val="00024394"/>
    <w:rsid w:val="00026A9A"/>
    <w:rsid w:val="00034747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3F0A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2D2A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0A9B"/>
    <w:rsid w:val="0037657A"/>
    <w:rsid w:val="00386CD6"/>
    <w:rsid w:val="00391BA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488F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D4B3F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21A0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56D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C6A6D"/>
    <w:rsid w:val="00CD4A32"/>
    <w:rsid w:val="00CD4CE8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169C4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488F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3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3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ilian.burger@wiwi.uni-marbur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353</cp:revision>
  <cp:lastPrinted>2021-08-31T08:53:00Z</cp:lastPrinted>
  <dcterms:created xsi:type="dcterms:W3CDTF">2019-10-01T14:21:00Z</dcterms:created>
  <dcterms:modified xsi:type="dcterms:W3CDTF">2022-02-09T08:15:00Z</dcterms:modified>
</cp:coreProperties>
</file>