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PD Model Investigation</w:t>
      </w:r>
    </w:p>
    <w:p>
      <w:pPr>
        <w:spacing w:after="320"/>
      </w:pPr>
      <w:r>
        <w:rPr>
          <w:i/>
          <w:iCs/>
          <w:color w:val="444444"/>
          <w:sz w:val="30"/>
          <w:szCs w:val="30"/>
        </w:rPr>
        <w:t xml:space="preserve">Closed-Loan Defaulter Visibility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Investigation triggered by a puzzling result: the PD model scored a group of ~8,448 confirmed “Defaulter” blacklisted agents inconsistently — those with a currently open/unresolved loan were scored correctly as high risk (AUC 0.75–0.84), but ~4,852 whose loan already showed closed/resolved at the scoring snapshot were scored no better than random (AUC ~0.47).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Two real, distinct data-pipeline bugs were found and fixed in the SQL that builds the model’s training and scoring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After fixing both, deeper investigation showed the remaining “poor AUC” result was not a model or data defect — it was almost entirely explained by how the business’s blacklist is defined and maintained, plus one real, separate lending-process finding worth escalating.</w:t>
      </w:r>
    </w:p>
    <w:p>
      <w:pPr>
        <w:spacing w:after="160"/>
      </w:pPr>
      <w:r>
        <w:rPr>
          <w:b/>
          <w:bCs/>
        </w:rPr>
        <w:t xml:space="preserve">Bottom line: </w:t>
      </w:r>
      <w:r>
        <w:t xml:space="preserve">the PD model is working correctly and does use loan history effectively to predict default risk. The “invisible defaulter” puzzle is resolved.</w:t>
      </w:r>
    </w:p>
    <w:p>
      <w:pPr>
        <w:pStyle w:val="Heading1"/>
        <w:spacing w:after="160" w:before="320"/>
      </w:pPr>
      <w:r>
        <w:t xml:space="preserve">Background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PD model predicts risk for a new loan disbursement using an agent’s prior behavior — repayment history, loan tenure, prior defaults, and similar signals.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sanity-check the model, its risk scores were compared against a business-maintained list of blacklisted (“Defaulter” and other reasons) and whitelisted agents.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One specific blacklist reason, “Defaulter not paid back in the last 30 days,” showed the model performing worse than random for a large subgroup, which triggered this investigation.</w:t>
      </w:r>
    </w:p>
    <w:p>
      <w:pPr>
        <w:pStyle w:val="Heading1"/>
        <w:spacing w:after="160" w:before="320"/>
      </w:pPr>
      <w:r>
        <w:t xml:space="preserve">Fix 1: Same-Day Loan Closure Logic Bug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training/scoring SQL builds a picture of each agent’s “prior loans” to compute features such as average loan tenure and repayment consistency.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join condition meant to handle the case of “customer repays loan 1 and takes loan 2 later the same day” was too narrow: it only counted loan 1 as prior history if loan 1 also started that same day. In reality, loan 1 often started on an earlier day and simply closed on the new loan’s disbursement day.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meant a whole family of “closed-loan” features were silently blank for any agent whose relevant prior loan closed on the same day a new loan was taken.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broadened the condition to correctly count any prior loan that closed on or before the new loan’s date, regardless of when it started.</w:t>
      </w:r>
    </w:p>
    <w:p>
      <w:pPr>
        <w:pStyle w:val="Heading1"/>
        <w:spacing w:after="160" w:before="320"/>
      </w:pPr>
      <w:r>
        <w:t xml:space="preserve">Fix 2: A Key Data Field Was Never Populated at the Source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Even after Fix 1, several important features — average tenure of closed loans, the most recent closed loan’s tenure, and a consecutive-on-time-loan streak — were still completely blank or flat.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Root cause: the raw source data field “tenure_days” (meant to capture how long a loan was open) was confirmed to be 0% populated — entirely empty — across the whole warehouse table, for every loan status, not just closed loans. This was a dead field, unrelated to Fix 1.</w:t>
      </w:r>
    </w:p>
    <w:p>
      <w:pPr>
        <w:spacing w:after="160"/>
      </w:pPr>
      <w:r>
        <w:rPr>
          <w:b/>
          <w:bCs/>
        </w:rPr>
        <w:t xml:space="preserve">Fix: </w:t>
      </w:r>
      <w:r>
        <w:t xml:space="preserve">computed loan tenure directly from two other fields that are reliably populated (loan start date and loan closure date), instead of relying on the broken source field.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fix was independently validated: for closed loans, the newly computed tenure value matched an entirely separate, independent data source (a different table tracking “days since disbursement”) exactly — 100% agreement across 5.69 million loans.</w:t>
      </w:r>
    </w:p>
    <w:p>
      <w:pPr>
        <w:pStyle w:val="Heading1"/>
        <w:spacing w:after="160" w:before="320"/>
      </w:pPr>
      <w:r>
        <w:t xml:space="preserve">Result of the Two Fixes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After retraining the model on the corrected data, the previously-blank features became populated and genuinely informative. One of them — tenure of an agent’s five most recent closed loans — became the model’s #2 most important feature overall by predictive contribution.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Model accuracy on the group of Defaulters who still had an open/unresolved loan at scoring time improved from AUC 0.76 to AUC 0.84 — a real, meaningful improvement.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However, the ~4,852 Defaulters whose loan already showed closed/resolved at scoring time still scored close to random (AUC ~0.47) even after both fixes. This required further investigation, described next.</w:t>
      </w:r>
    </w:p>
    <w:p>
      <w:pPr>
        <w:pStyle w:val="Heading1"/>
        <w:spacing w:after="160" w:before="320"/>
      </w:pPr>
      <w:r>
        <w:t xml:space="preserve">Decomposing the Remaining 4,852 “Closed-Loan Defaulter” Population</w:t>
      </w:r>
    </w:p>
    <w:p>
      <w:pPr>
        <w:spacing w:after="160"/>
      </w:pPr>
      <w:r>
        <w:t xml:space="preserve">A clarification from the product owner was key to resolving this: the “Defaulter not paid back in the last 30 days” tag is applied permanently the first time a specific loan goes 31+ days without being repaid, and is never automatically cleared afterward — even once that loan is eventually repaid, and even after the agent takes and repays many further loans normally. The blacklist report is cumulative: once tagged, an agent appears on every subsequent day’s list.</w:t>
      </w:r>
    </w:p>
    <w:p>
      <w:pPr>
        <w:spacing w:after="160"/>
      </w:pPr>
      <w:r>
        <w:t xml:space="preserve">With that understanding, the 4,852 agents were broken into four distinct groups by digging into their actual loan histories:</w:t>
      </w:r>
    </w:p>
    <w:tbl>
      <w:tblPr>
        <w:tblW w:type="dxa" w:w="98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523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1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1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</w:t>
            </w:r>
          </w:p>
        </w:tc>
        <w:tc>
          <w:tcPr>
            <w:tcW w:type="dxa" w:w="52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Historical flag, since fully rehabilitated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4,272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88.0%</w:t>
            </w:r>
          </w:p>
        </w:tc>
        <w:tc>
          <w:tcPr>
            <w:tcW w:type="dxa" w:w="523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These agents typically have around 39 prior loans, the vast majority repaid same-day or next-day. Their most recent closed loan itself closed in a median of 1 day — well under the 30-day threshold — so it cannot be the loan that triggered the flag. The flag almost certainly traces to a single old, isolated bad loan, with no bearing on their current, clearly-improved behavior. Model AUC on this exact group: 0.43 — the model correctly scores them as low risk, appropriately disagreeing with a stale historical tag.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Genuinely recent severe lateness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580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12.0%</w:t>
            </w:r>
          </w:p>
        </w:tc>
        <w:tc>
          <w:tcPr>
            <w:tcW w:type="dxa" w:w="52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For these agents, the most recent closed loan itself took 30 or more days to close — a current, valid match to the blacklist definition. Model AUC on this exact group: 0.78 — the model correctly identifies this group as high risk, comparable to agents with a currently open overdue loan.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New loan issued after the blacklist date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197</w:t>
            </w:r>
          </w:p>
        </w:tc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4.1%</w:t>
            </w:r>
          </w:p>
        </w:tc>
        <w:tc>
          <w:tcPr>
            <w:tcW w:type="dxa" w:w="523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These agents received a brand-new loan disbursement after their August 4 blacklist date. This is a lending-process question, not a model or data issue — see Recommendations.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Ambiguous / inconclusive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≤ 6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&lt; 0.5%</w:t>
            </w:r>
          </w:p>
        </w:tc>
        <w:tc>
          <w:tcPr>
            <w:tcW w:type="dxa" w:w="523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A small residual that timing data alone could not cleanly classify. Immaterial to the overall conclusion.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Conclusion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PD model is functioning correctly. Once the two data-pipeline bugs were fixed, the model demonstrably uses loan history well: it accurately identifies agents with a currently open overdue loan (AUC 0.84) and agents whose most recent loan was itself severely late (AUC 0.78).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originally alarming ~0.47 AUC result was a measurement artifact of comparing the model’s assessment of current risk against a business blacklist tag that, by design, never gets removed once applied — even after a long track record of subsequent good behavior. These are two different, both valid, but different questions: “is this agent risky today” versus “has this agent ever, at any point, had a severely late loan.”</w:t>
      </w:r>
    </w:p>
    <w:p>
      <w:pPr>
        <w:pStyle w:val="Heading1"/>
        <w:spacing w:after="160" w:before="32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further PD model changes are needed as a result of this investigation; the two data-pipeline fixes should be considered the resolution.</w:t>
      </w:r>
    </w:p>
    <w:p>
      <w:pPr>
        <w:spacing w:after="160"/>
      </w:pPr>
      <w:r>
        <w:rPr>
          <w:b/>
          <w:bCs/>
        </w:rPr>
        <w:t xml:space="preserve">Business process question worth reviewing: </w:t>
      </w:r>
      <w:r>
        <w:t xml:space="preserve">197 agents received new loan disbursements after their blacklist date. We recommend confirming whether the lending/disbursement process checks an agent’s current blacklist status before approving a new loan, and if not, whether it should.</w:t>
      </w:r>
    </w:p>
    <w:p>
      <w:pPr>
        <w:spacing w:after="160"/>
      </w:pPr>
      <w:r>
        <w:rPr>
          <w:b/>
          <w:bCs/>
        </w:rPr>
        <w:t xml:space="preserve">Optional business decision (not a data or model issue): </w:t>
      </w:r>
      <w:r>
        <w:t xml:space="preserve">consider whether a “cooling-off” or review mechanism should exist to move a permanently-flagged agent off the Defaulter list after a sustained period of good repayment behavior, since the current design causes the blacklist to increasingly diverge from agents’ current risk over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2026-09-14T12:34:48.530Z</dcterms:created>
  <dcterms:modified xsi:type="dcterms:W3CDTF">2026-09-14T12:34:48.530Z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