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 xml:space="preserve">NÚMERO DE FIPI :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prototipo de apoyo para el reconocimiento del Lenguaje de Señas Mexicano (LSM) mediante visión por computadora e inteligencia artificial. La interfaz web vigente puede abrir la cámara, capturar imágenes y preparar solicitudes de predicción, pero el backend que debería atender esas solicitudes no está incluido en el repositorio actual. Por eso, el sistema debe presentarse como un prototipo con una línea experimental de modelos, no como un traductor terminado en tiempo real. El autocompletado local propone palabras a partir de un prefijo; no confirma que una palabra haya sido reconocida.</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 flujo reproducible que reconozca señas del LSM usando una cámara estándar? El repositorio conserva una interfaz web, extracción de puntos y varias líneas de modelos, pero la conexión entre la cámara y un backend de inferencia aún debe completarse y evaluarse.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idea de uso es directa: una persona hace una seña frente a la cámara y la aplicación debería mostrar una salida que pueda leerse y aceptarse. En el estado actual, la interfaz prepara esa integración y el autocompletado puede apoyar el deletreo; todavía no se debe afirmar que la cámara traduce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capaz de reconocer las clases que puedan validarse con los datos disponibles, utilizando una representación reproducible de puntos y una evaluación separada por participantes. La cobertura de la Ñ y del vocabulario completo depende de que existan muestras suficientes, correctamente etiquetadas y conectadas al modelo que se vaya a desplegar.</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resume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Estos números no hablan de falta de capacidad: hablan de falta de acceso. Y el acceso no se resuelve solo con buenas intenciones, se resuelve con herramientas que la gente pueda usar hoy, sin esperar a que cambie la política pública o a que se forme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extraen puntos de la mano con MediaPipe y se entrenan modelos temporales sobre una representación consistente, entonces el sistema puede ofrecer una base reproducible para reconocer señas del LSM. La hipótesis solo podrá confirmarse después de completar el entrenamiento, evaluar datos de personas no utilizadas en el ajuste y conectar el modelo con la interfaz.</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Variable independiente: la cantidad y diversidad de muestras por clase, la representación de puntos utilizada y la arquitectura temporal seleccionada para cada experimento.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Variables controladas: la resolución de cámara, el modelo de MediaPipe utilizado (HandLandmarker, misma versión para todas las muestras), la proporción de la partición entrenamiento/validación/prueba (70/15/15) y los hiperparámetros de entrenamiento (optimizador, tasa de aprendizaje, tamaño de batch), que se mantuvieron fijos entre el modelo de abecedario y el de vocabulario para poder comparar resultados.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manifiestos de varias fuentes, registros del abecedario y secuencias representadas como puntos tridimensionales. El mapa nominal contiene 249 etiquetas de palabras, pero esa cifra no equivale a 249 clases entrenadas con igual cantidad de datos. Los archivos procesados grandes tampoco están todos incluidos en el clon actual.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Diseñar y validar progresivamente un prototipo de reconocimiento de señas del LSM que pueda convertir una entrada de cámara en texto, utilizando inteligencia artificial y herramientas de código abierto, sin presentar como terminado lo que todavía no está conectado o evaluado.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entrenar el sistema recopilamos un dataset propio de 598,127 datos: 574,064 del abecedario, distribuidas en 21 letras estáticas (de la A a la V, sin la Ñ, más la W y la Y), y 24,063 más repartidas en 249 palabras del vocabulario LSM. Las herramientas para construir esto (MediaPipe, TensorFlow, Python) ya eran gratuitas y de código abierto. Lo que no existía era un modelo entrenado específicamente con señas del LSM, publicado abiertamente y disponible para cualquiera que quisiera usarlo.</w:t>
      </w:r>
    </w:p>
    <w:p>
      <w:pPr>
        <w:spacing w:after="120" w:before="280" w:line="360" w:lineRule="auto"/>
        <w:jc w:val="left"/>
      </w:pPr>
      <w:r>
        <w:rPr>
          <w:rFonts w:ascii="Times New Roman" w:cs="Times New Roman" w:eastAsia="Times New Roman" w:hAnsi="Times New Roman"/>
          <w:b/>
          <w:bCs/>
          <w:sz w:val="24"/>
          <w:szCs w:val="24"/>
        </w:rPr>
        <w:t>1. Preparar representaciones de puntos clave mediante MediaPipe y entrenar modelos temporales con las herramientas declaradas para cada experimento, diferenciando la línea PyTorch vigente del runtime TensorFlow/TFLite heredado.</w:t>
      </w:r>
    </w:p>
    <w:p>
      <w:pPr>
        <w:spacing w:after="100" w:before="220" w:line="360" w:lineRule="auto"/>
        <w:jc w:val="left"/>
      </w:pPr>
      <w:r>
        <w:rPr>
          <w:rFonts w:ascii="Times New Roman" w:cs="Times New Roman" w:eastAsia="Times New Roman" w:hAnsi="Times New Roman"/>
          <w:b/>
          <w:bCs/>
          <w:sz w:val="24"/>
          <w:szCs w:val="24"/>
        </w:rPr>
        <w:t>2. Diseñar un contrato de integración que permita conectar un modelo validado con la interfaz web; la integración con plataformas de videollamada, mensajería o educación queda como trabajo posterior.</w:t>
      </w:r>
    </w:p>
    <w:p>
      <w:pPr>
        <w:spacing w:after="120" w:before="0" w:line="360" w:lineRule="auto"/>
        <w:jc w:val="both"/>
      </w:pPr>
      <w:r>
        <w:rPr>
          <w:rFonts w:ascii="Times New Roman" w:cs="Times New Roman" w:eastAsia="Times New Roman" w:hAnsi="Times New Roman"/>
          <w:b w:val="false"/>
          <w:bCs w:val="false"/>
          <w:i w:val="false"/>
          <w:iCs w:val="false"/>
          <w:sz w:val="24"/>
          <w:szCs w:val="24"/>
        </w:rPr>
        <w:t>3. Evaluar el desempeño con métricas de validación y prueba, incluyendo participantes no utilizados durante el entrenamiento, antes de afirmar una cobertura determinada o alcanzar la meta de 85% de accuracy.</w:t>
      </w:r>
    </w:p>
    <w:p>
      <w:pPr>
        <w:spacing w:after="100" w:before="220" w:line="360" w:lineRule="auto"/>
        <w:jc w:val="left"/>
      </w:pPr>
      <w:r>
        <w:rPr>
          <w:rFonts w:ascii="Times New Roman" w:cs="Times New Roman" w:eastAsia="Times New Roman" w:hAnsi="Times New Roman"/>
          <w:b/>
          <w:bCs/>
          <w:sz w:val="24"/>
          <w:szCs w:val="24"/>
        </w:rPr>
        <w:t>4. Probar la integración de la inferencia con la interfaz web y documentar por separado cualquier integración futura con plataformas de videollamada o mensajería.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5. Publicar, cuando las licencias y los consentimientos lo permitan, el código y los manifiestos necesarios para que otros equipos puedan reproducir o ampliar el trabajo.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El desarrollo se organizó en etapas que pueden repetirse y evaluarse por separado: preparación de manifiestos, extracción de puntos, generación de características, entrenamiento, evaluación y conexión con la aplicación. Las representaciones, modelos y métricas se describen por experimento para no mezclar tareas con contratos de entrada distintos.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Lenguaje y librerías: Python 3, MediaPipe y NumPy en las etapas de visión; PyTorch en la línea de entrenamiento TCN; TensorFlow/TFLite aparece en un runtime heredado que no está conectado a la interfaz React vigente.</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Hardware de entrenamiento: el experimento `successor_positions126` registra CPU como dispositivo efectivo; la disponibilidad de GPU o de varios núcleos debe registrarse por corrida y no se puede inferir del código.</w:t>
      </w:r>
    </w:p>
    <w:p>
      <w:pPr>
        <w:spacing w:after="40" w:before="200"/>
        <w:jc w:val="center"/>
      </w:pPr>
      <w:r>
        <w:t>Formato de salida: el TCN PyTorch vigente conserva checkpoints experimentales; la exportación a TFLite corresponde a una línea heredada y no está conectada a la interfaz React actual.</w:t>
      </w:r>
    </w:p>
    <w:p>
      <w:pPr>
        <w:spacing w:after="100" w:before="220" w:line="360" w:lineRule="auto"/>
        <w:jc w:val="left"/>
      </w:pPr>
      <w:r>
        <w:rPr>
          <w:rFonts w:ascii="Times New Roman" w:cs="Times New Roman" w:eastAsia="Times New Roman" w:hAnsi="Times New Roman"/>
          <w:b/>
          <w:bCs/>
          <w:sz w:val="24"/>
          <w:szCs w:val="24"/>
        </w:rPr>
        <w:t>Control de versiones y organización del código: la interfaz está en `app/`, la visión en `core/`, los modelos y entrenadores PyTorch en `entrenador/`, los manifiestos en `dataset/` y los análisis en `docs/`.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El repositorio distingue entre manifiestos de dactilología, abecedario y puntos tridimensionales. La tabla resume el catálogo disponible, pero la existencia de una fila no demuestra que la clase tenga suficientes datos listos para entrenar.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Para el vocabulario se registran 249 etiquetas nominales, mientras que el experimento `successor_positions126` conserva una partición concreta de 1,675 muestras de entrenamiento, 379 de validación y 393 de prueba. Estos datos no deben presentarse como un dataset consolidado de 598,127 muestras ni como un modelo de 249 palabras listo para uso.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se fotografiaron 574,064 datos en 21 letras estáticas (de la A a la V, sin la Ñ, más la W y la Y), con un promedio de 27,358 fotos por letra; el rango va de 26,358 a 29,362 según la letra. Cinco letras dinámicas (J, K, Q, X, Z) se registroron en video en lugar de muestra fija, porque su forma cambia con el movimiento y una sola dato no las representa bien: 200 videos por cada una de estas cinco letras. La Ñ se intentó registror de la misma manera, pero no se obtuvo ninguna toma utilizable; en la práctica, el modelo de abecedario reconoce 26 clases, no 27. La Tabla 1 desglosa el tipo de registro y el número de muestras por letra.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center"/>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vocabulario se trabajó con 249 palabras organizadas en 12 categorías semánticas (acciones, personas, tiempo, lugares, casa y escuela, alimentos, transporte, familiares, cuerpo, ropa y saludos, entre otras), que en conjunto suman 303 clases registradas al contar variantes de una misma palabra. En total se recopilaron 4,811 secuencias de video. Antes de entrenar, se calculó el hash MD5 de cada secuencia para detectar duplicados exactos; se encontraron y eliminaron 35. La esta sección muestra cómo se reparten esas clases entre categorías; conviene adelantar que no todas tienen el mismo desempeño, como se ve en la sección de resultados.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El proceso completo de una predicción debería ir desde el cuadro de cámara hasta una representación numérica y después al modelo. En el repositorio actual la interfaz envía solicitudes a un backend esperado en `127.0.0.1:8765`, pero ese servidor no está incluido; por tanto, la cadena de inferencia todavía requiere integración y prueba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la red neuronal es necesario precisar un punto básico: una computadora no procesa una muestra de la misma forma que una persona. Para una computadora, una dato en escala de grises es una matriz de números entre 0 (negro) y 255 (blanco); una dato a color son en realidad tres matrices superpuestas, una por canal (rojo, verde y azul). Una muestra común de 640×480 píxeles equivale, solo en un canal, a una matriz de 640 por 480 números: 307,200 valores por canal, casi un millón entre los tres. La esta sección muestra esta idea a escala reducida: una dato se representa como matriz de índices de color, con varios ejemplos adicionales de cómo cualquier dibujo simple (una ballena, una casa, un árbol) es, para la computadora, solo una tabla de números.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`successor_positions126` utiliza secuencias de 30 cuadros con 126 valores por cuadro; otras tareas registran 93, 226 u otras dimensiones. Cada resultado debe identificarse por su propia tarea y contrato de entrada.</w:t>
      </w:r>
    </w:p>
    <w:p>
      <w:pPr>
        <w:spacing w:after="40" w:before="200"/>
        <w:jc w:val="center"/>
      </w:pPr>
      <w:r>
        <w:t>La configuración de manos y pose depende de la etapa y del experimento. No se debe trasladar la forma `(30, 93)` o `(30, 226)` a todos los modelos: el TCN vigente para `successor_positions126` trabaja con `(30, 126)`.</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dato, no solo a muestras de manos. Da igual si es la seña de una letra, una ballena de caricatura o un dibujo de una casa: para la computadora, todo se reduce a la misma estructura de números organizados en filas y columnas. La esta sección muestra varios ejemplos simples de esto.</w:t>
      </w:r>
    </w:p>
    <w:p>
      <w:pPr>
        <w:spacing w:after="40" w:before="200"/>
        <w:jc w:val="center"/>
      </w:pPr>
      <w:r>
        <w:t>Una muestra temporal puede organizarse como una secuencia de 30 cuadros consecutivos cuando la tarea lo requiere. Esta ventana representa movimiento; no es una propiedad universal de todas las muestras del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esos casi un millón de números por muestra es posible, pero caro: hace falta mucho más cómputo y muchos más datos para que el modelo aprenda a ignorar todo lo que no es la mano: el fondo, la ropa, la iluminación, y se quede solo con la seña. Aquí es donde entra MediaPipe.</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Su modelo HandLandmarker no fue entrenado por nosotros: es un modelo ya entrenado por Google con millones de datos de manos, y su única función es encontrar una mano dentro de la dato y devolver 21 puntos clave (keypoints) con sus coordenadas (x, y, z): 21 puntos por mano, con nombres e índices estandarizados (WRIST, THUMB_TIP, INDEX_TIP, entre otros). Cada dato o cuadro de video se procesó con este modelo, en su versión tasks-vision, que detecta hasta dos manos simultáneamente.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existen características de 93 valores por cuadro en una línea de extracción, mientras que `successor_positions126` utiliza 126 valores por cuadro. La representación debe coincidir exactamente entre entrenamiento e inferencia.</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Esto es la decisión de diseño más importante de todo el proyecto: en lugar de darle a nuestra red la muestra completa (casi un millón de números, la mayoría de ellos ruido irrelevante), le damos solamente 21 puntos por mano, 63 números en total (21 × 3 coordenadas). MediaPipe ya hizo el trabajo pesado de encontrar la mano entre todo lo demás; nuestra red solo tiene que aprender a distinguir una seña de otra a partir de esos 63 números, no a encontrar la mano dentro de la dato. Esa reducción es la razón directa por la que nuestro modelo final pesa apenas 45 KB en lugar de los varios megabytes que pesaría una red convolucional entrenada sobre datos completas: el propio modelo de MediaPipe, ya entrenado por Google, pesa 7.8 MB en su versión float16, y es él quien carga con la parte más pesada del problema de visión.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se procesaron en modo IMAGE; las secuencias de palabras y las letras dinámicas, en modo VIDEO, ya que ese modo aprovecha la continuidad entre cuadros para un rastreo más estable. En una primera versión del pipeline se usó por error el modo VIDEO también para las muestras, lo que producía detecciones inconsistentes entre datos que no tenían relación temporal entre sí; corregir esa confusión de modos fue uno de los primeros ajustes necesarios.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configuración final fue: num_hands = 2, min_hand_detection_confidence = 0.3, min_tracking_confidence = 0.5. Para el abecedario se usó una sola mano (63 keypoints); para palabras se usaron ambas manos más pose corporal y rasgos faciales, sumando 226 keypoints por cuadro: 126 de manos, 52 de pose y 48 de cara, como se desglosa a continuación.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al modelo no es un solo cuadro, sino una secuencia de 30 cuadros consecutivos, aproximadamente un segundo de video a 30 cuadros por segundo, lo que le permite a la red observar el movimiento, no solo una postura estática. El valor de 30 se eligió por dos razones prácticas: es suficiente para registror el gesto completo de las letras dinámicas más lentas observadas durante la recolección, y mantiene el tensor de entrada en un tamaño manejable para entrenar en la máquina disponible; secuencias más largas (60 u 80 cuadros) se probaron informalmente y no mejoraron el accuracy lo suficiente para justificar el costo de cómputo adicional.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r>
      <w:r>
        <w:rPr>
          <w:rFonts w:ascii="Courier New" w:cs="Courier New" w:eastAsia="Courier New" w:hAnsi="Courier New"/>
          <w:color w:val="333333"/>
          <w:sz w:val="18"/>
          <w:szCs w:val="18"/>
        </w:rPr>
        <w:br/>
        <w:t xml:space="preserve">    muneca = keypoints[0]</w:t>
      </w:r>
      <w:r>
        <w:rPr>
          <w:rFonts w:ascii="Courier New" w:cs="Courier New" w:eastAsia="Courier New" w:hAnsi="Courier New"/>
          <w:color w:val="333333"/>
          <w:sz w:val="18"/>
          <w:szCs w:val="18"/>
        </w:rPr>
        <w:br/>
        <w:t xml:space="preserve">    nudillo_medio = keypoints[9]</w:t>
      </w:r>
      <w:r>
        <w:rPr>
          <w:rFonts w:ascii="Courier New" w:cs="Courier New" w:eastAsia="Courier New" w:hAnsi="Courier New"/>
          <w:color w:val="333333"/>
          <w:sz w:val="18"/>
          <w:szCs w:val="18"/>
        </w:rPr>
        <w:br/>
        <w:t xml:space="preserve">    escala = distancia(muneca, nudillo_medio)</w:t>
      </w:r>
      <w:r>
        <w:rPr>
          <w:rFonts w:ascii="Courier New" w:cs="Courier New" w:eastAsia="Courier New" w:hAnsi="Courier New"/>
          <w:color w:val="333333"/>
          <w:sz w:val="18"/>
          <w:szCs w:val="18"/>
        </w:rPr>
        <w:br/>
        <w:t xml:space="preserve">    centrados = keypoints - muneca</w:t>
      </w:r>
      <w:r>
        <w:rPr>
          <w:rFonts w:ascii="Courier New" w:cs="Courier New" w:eastAsia="Courier New" w:hAnsi="Courier New"/>
          <w:color w:val="333333"/>
          <w:sz w:val="18"/>
          <w:szCs w:val="18"/>
        </w:rPr>
        <w:br/>
        <w:t xml:space="preserve">    normalizados = centrados / escala</w:t>
      </w:r>
      <w:r>
        <w:rPr>
          <w:rFonts w:ascii="Courier New" w:cs="Courier New" w:eastAsia="Courier New" w:hAnsi="Courier New"/>
          <w:color w:val="333333"/>
          <w:sz w:val="18"/>
          <w:szCs w:val="18"/>
        </w:rPr>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convolución temporal puede detectar patrones locales entre cuadros cercanos. La línea PyTorch vigente añade bloques temporales residuales y pooling; la arquitectura no debe describirse como Conv1D+BiLSTM para todos los experimentos.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y la representación empleadas no fueron idénticas en todas las líneas. El modelo vigente de investigación es un TCN temporal; las referencias a BiLSTM pertenecen a una versión anterior del protocolo y no al checkpoint actual.</w:t>
      </w:r>
    </w:p>
    <w:p>
      <w:pPr>
        <w:spacing w:after="100" w:before="220" w:line="360" w:lineRule="auto"/>
        <w:jc w:val="left"/>
      </w:pPr>
      <w:r>
        <w:rPr>
          <w:rFonts w:ascii="Times New Roman" w:cs="Times New Roman" w:eastAsia="Times New Roman" w:hAnsi="Times New Roman"/>
          <w:b/>
          <w:bCs/>
          <w:sz w:val="24"/>
          <w:szCs w:val="24"/>
        </w:rPr>
        <w:t>Finalmente, una cabeza lineal produce logits para las clases disponibles. La aplicación debe aplicar un umbral, estabilización y una política de rechazo antes de convertir una salida incierta en texto.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debe ir desde la representación de entrada hasta los logits de cada clase. En la interfaz vigente, las letras o palabras no llegan todavía desde un backend de inferencia incluido en 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acumulativo: una misma muestra original puede generar decenas de variantes distintas combinando traslación, rotación y escalado, como se ilustra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Para `successor_positions126`, la entrada tiene forma (30, 126), es decir, 30 cuadros por muestra y 126 valores por cuadro. También existen variantes para otras tareas y dimensiones.</w:t>
      </w:r>
    </w:p>
    <w:p>
      <w:pPr>
        <w:spacing w:after="100" w:before="220" w:line="360" w:lineRule="auto"/>
        <w:jc w:val="left"/>
      </w:pPr>
      <w:r>
        <w:rPr>
          <w:rFonts w:ascii="Times New Roman" w:cs="Times New Roman" w:eastAsia="Times New Roman" w:hAnsi="Times New Roman"/>
          <w:b/>
          <w:bCs/>
          <w:sz w:val="24"/>
          <w:szCs w:val="24"/>
        </w:rPr>
        <w:t>La arquitectura vigente de investigación es un TCN temporal: usa convoluciones 1D, bloques residuales con dilataciones y pooling temporal antes de la cabeza de clasificación. La fábrica de modelos también conserva variantes experimentales; no existe una única arquitectura final para todo el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`successor_positions126` registra AdamW, tasa de aprendizaje 0.002, weight decay 0.0001, 40 épocas máximas, paciencia 8, semilla 42 y dispositivo CPU en las métricas guardadas. Su entrada es `(30, 126)` y sus particiones son 1,675/379/393.</w:t>
      </w:r>
    </w:p>
    <w:p>
      <w:pPr>
        <w:spacing w:after="40" w:before="200"/>
        <w:jc w:val="center"/>
      </w:pPr>
      <w:r>
        <w:t>Las corridas no comparten una única configuración. Para compararlas se deben registrar tarea, manifiesto, participantes, separación, semilla, dispositivo, forma de entrada, número de clases, checkpoint y métricas completas.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esta sección ilustra esta transformación progresiva.</w:t>
      </w:r>
    </w:p>
    <w:p>
      <w:pPr>
        <w:spacing w:after="40" w:before="200"/>
        <w:jc w:val="center"/>
      </w:pPr>
      <w:r>
        <w:t>La extracción de características puede paralelizarse, pero el uso de una GPU o de varios núcleos no garantiza un buen resultado. La reproducibilidad requiere registrar el entorno, los datos utilizados y los comandos exactos de cada corrida.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primera operación especializada de nuestra red es una convolución 1D (Conv1D), que detecta patrones locales de movimiento entre cuadros cercanos: un filtro pequeño recorre la secuencia buscando la misma estructura, por ejemplo un dedo doblándose, sin importar en qué momento exacto de la seña ocurra. Esto es clave para las letras dinámicas, donde el mismo gesto puede empezar un poco antes o después según la persona (esta sección).</w:t>
      </w:r>
    </w:p>
    <w:p>
      <w:pPr>
        <w:spacing w:after="40" w:before="200"/>
        <w:jc w:val="center"/>
      </w:pPr>
      <w:r>
        <w:t>La evaluación debe conservar accuracy, precisión, recall, macro-F1 y matriz de confusión cuando estén disponibles. La conversión a TFLite no puede presentarse como parte del flujo vigente si el runtime exportado no está conectado a la interfaz.</w:t>
      </w:r>
    </w:p>
    <w:p>
      <w:pPr>
        <w:spacing w:after="120" w:before="0" w:line="360" w:lineRule="auto"/>
        <w:jc w:val="both"/>
      </w:pPr>
      <w:r>
        <w:rPr>
          <w:rFonts w:ascii="Times New Roman" w:cs="Times New Roman" w:eastAsia="Times New Roman" w:hAnsi="Times New Roman"/>
          <w:b w:val="false"/>
          <w:bCs w:val="false"/>
          <w:i w:val="false"/>
          <w:iCs w:val="false"/>
          <w:sz w:val="24"/>
          <w:szCs w:val="24"/>
        </w:rPr>
        <w:t>Después de las capas convolucionales, una BiLSTM integra el contexto temporal completo de la secuencia. A diferencia de una LSTM normal, que solo lee hacia adelante, la BiLSTM la recorre en ambas direcciones y combina lo que aprendió en cada sentido: así, para clasificar un cuadro en la mitad de la seña, la red ya sabe tanto cómo empezó el gesto como hacia dónde va (esta sección).</w:t>
      </w:r>
    </w:p>
    <w:p>
      <w:pPr>
        <w:spacing w:after="40" w:before="200"/>
        <w:jc w:val="center"/>
      </w:pPr>
      <w:r>
        <w:t>Se consideraron representaciones de imagen completa y representaciones de puntos clave. La línea vigente de investigación utiliza un TCN PyTorch temporal; la arquitectura Conv1D+BiLSTM y el runtime TensorFlow/TFLite pertenecen a líneas anteriores o heredadas.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convierte toda esa información en una probabilidad para cada una de las 26 letras. Softmax garantiza que esas probabilidades sumen 1, así que el sistema no solo dice cuál letra reconoció, sino qué tan seguro está: una predicción de 98% para la letra A es muy distinta de una de 40%, aunque ambas resulten en la misma letra final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la interfaz React/Vite en `app/`, la extracción y visión en `core/`, los modelos y entrenadores PyTorch en `entrenador/`, los manifiestos en `dataset/` y los reportes en `docs/`. Las rutas bajo `_desactualizado/` no representan la integración actual.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ilustrar lo que ocurre dentro de la red es observar cómo reorganiza el espacio de entrada: al pasar por las capas, las 93 features originales de cada cuadro se transforman en una representación interna donde las señas de clases distintas quedan más separadas entre sí. La esta sección ofrece una representación conceptual de ese espacio.</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reporte de `successor_positions126` utiliza una entrada `(30, 126)` y 249 etiquetas. El TCN PyTorch procesa la secuencia temporal; otras tareas del repositorio usan distintas dimensiones y no deben mezclarse con este experimento.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`TemporalTCN` aplica convoluciones temporales, bloques residuales con dilataciones y pooling temporal adaptativo antes de la clasificación. El checkpoint y sus métricas deben identificarse por tarea; no se debe presentar la arquitectura antigua Conv1D+BiLSTM como la vigente.</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entrenamiento registrado para `successor_positions126` utilizó 249 etiquetas, entrada de 30 cuadros por 126 valores y las particiones 1,675/379/393. La prueba obtuvo 0% de accuracy y 0% de macro-F1 sobre 393 muestras. El checkpoint MSL-ABC es otra corrida: tiene 74 clases y quedó interrumpido durante la primera época.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conservan configuraciones diferentes de partición y entrenamiento. Para que los resultados sean comparables, las nuevas corridas deberán registrar de forma explícita la semilla, los participantes, la separación por firmante, la forma de entrada, el dispositivo, el checkpoint y las métricas.</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Hiperparámetro</w:t>
            </w:r>
          </w:p>
        </w:tc>
        <w:tc>
          <w:tcPr>
            <w:tcW w:type="dxa" w:w="5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Valor</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Optimizador</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AdamW</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Tasa de aprendizaje inicial</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0.002 (successor_positions126)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CrossEntropyLoss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Batch size</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8 (corrida registrada)</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Épocas máximas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40 máximas; paciencia 8</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ReduceLROnPlateau</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aplica a esta corrida según el reporte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División de datos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1,675 / 379 / 393 muestras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Longitud de secuencia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30 cuadros por muestra</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deben conservar las métricas y la matriz de confusión de cada experimento. La exportación a TFLite es una tarea pendiente o heredada, no evidencia de que el TCN actual ya funcione dentro de la interfaz.</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una línea se consideraron imágenes completas, SVM sobre keypoints y modelos temporales. La línea PyTorch vigente utiliza un TCN; otras arquitecturas se conservan como antecedentes y no como el modelo desplegado.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Enfoque</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Ventaja</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Motivo de la decisión</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CNN 2D sobre dato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requiere MediaPipe; puede aprender features propias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Requiere muchos más datos y cómputo; no es la ruta conectada a la interfaz.</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SVM sobre keypoints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Simple de entrenar, pocos hiperparámetros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modela bien la dinámica temporal; se conserva como alternativa histórica.</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TCN temporal PyTorch (vigente en la investigación)</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Modela patrones temporales con bloques residuales y pooling.</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Es la línea vigente del entrenador, pero aún requiere backend y evaluación final.</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`app/`, `core/`, `entrenador/`, `dataset/` y `docs/`. La presencia de scripts, checkpoints o README no demuestra por sí sola que exista un backend conectado a la cámara.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esta sección resume cómo se distribuyó el esfuerzo entre las distintas etapas del pipeline a lo largo de las semanas.</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un reporte de un modelo de abecedario con 26 clases, 6,692 muestras de entrenamiento, 356 de validación y 356 de prueba. Ese reporte registra una precisión de prueba de 98.60%; debe conservarse como resultado de ese experimento específico y no generalizarse automáticamente a la interfaz actual.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cifra del modelo de abecedario no demuestra reconocimiento en cámara. Las métricas deben identificarse por conjunto, partición, participantes, checkpoint y condiciones de evaluación antes de compararlas con nuevos experimentos.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conectar un runtime que reproduzca exactamente la representación usada en el entrenamiento.</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presentarse como una traducción funcional.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insuficiente no permite concluir por sí solo si la causa principal es la arquitectura, los datos, las etiquetas o la separación. Sí muestra que la combinación actual requiere nuevos datos, revisión de etiquetas, evaluación por firmante y una integración de inferencia reproducible.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Mientras se reúnen más participantes y conjuntos de datos de calidad, el sistema puede utilizar el abecedario y el autocompletado como estrategia provisional de formación de texto. El autocompletado propone palabras por prefijo; no confirma una palabra reconocida.</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una afirmación de sistema terminado, este proyecto aporta una base experimental auditable: extracción de puntos, modelos temporales, manifiestos, una interfaz web y autocompletado local. El reconocimiento directo de palabras y la inferencia de cámara todavía requieren integración y validación.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Ese resultado pertenece a un experimento concreto y no demuestra que la interfaz actual reconozca señas sin un backend conectado.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modelo de palabras no alcanzó una condición de uso confiable. El reporte con 249 etiquetas obtuvo 0% de accuracy y 0% de macro-F1 en prueba, por lo que debe considerarse un experimento insuficiente, no una traducción funcional.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están pendientes de extracción, los modelos tienen contratos diferentes y la interfaz espera endpoints cuyo servidor no está versionado.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completar el backend y repetir las evaluaciones con métricas completas.</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contiene una línea experimental de modelos temporales y una aplicación que puede capturar datos, exportarlos y preparar solicitudes. La cobertura final debe confirmarse con nuevas pruebas fuera del entorno controlado.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estén conectados a la interfaz.</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macro-F1 en prueba, por lo que se reporta como resultado insuficiente.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Corto plazo: implementar el backend de predicción esperado por la interfaz, completar y evaluar el modelo seleccionado, y añadir confianza, estabilización y rechazo antes de mostrar una salida como texto.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Corto plazo: abrir una convocatoria de grabación colaborativa para las categorías de vocabulario con menos ejemplos y documentar licencias y participantes.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Mediano plazo: evaluar el modelo de vocabulario con usuarios sordos y hablantes de LSM que no formen parte del desarrollo, midiendo experiencia de uso además del accuracy.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Mediano plazo: probar el sistema en condiciones variables de iluminación, calidad de cámara y dispositivo, fuera del entorno controlado de recolección.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Largo plazo: valorar integraciones con Google Meet, Microsoft Teams y Zoom únicamente después de estabilizar el backend, el modelo y la política de confianza.</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 xml:space="preserve">[4] Google AI. (2024). MediaPipe Hand Landmarker. https://google.github.io/mediapipe/solutions/hands.html</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Documentar el estado real de la letra Ñ en los manifiestos y no asumir que una etiqueta nominal equivale a muestras utilizables.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con la convocatoria la categoría oficial, conservando los datos administrativos que entregue el equipo.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Registrar el tiempo de entrenamiento, el dispositivo y la versión exacta del entorno para cada corrida reproducible.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Identificar con el manifiesto las letras que necesitan más datos; no incluir una lista específica hasta verificarla.</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