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line="360" w:lineRule="auto"/>
        <w:jc w:val="center"/>
      </w:pPr>
      <w:r>
        <w:rPr>
          <w:rFonts w:ascii="Times New Roman" w:cs="Times New Roman" w:eastAsia="Times New Roman" w:hAnsi="Times New Roman"/>
          <w:b/>
          <w:bCs/>
          <w:sz w:val="28"/>
          <w:szCs w:val="28"/>
        </w:rPr>
        <w:t xml:space="preserve">FERIA MEXICANA DE CIENCIAS E INGENIERÍAS</w:t>
      </w:r>
    </w:p>
    <w:p>
      <w:pPr>
        <w:spacing w:after="0" w:before="120" w:line="360" w:lineRule="auto"/>
        <w:jc w:val="center"/>
      </w:pPr>
      <w:r>
        <w:rPr>
          <w:rFonts w:ascii="Times New Roman" w:cs="Times New Roman" w:eastAsia="Times New Roman" w:hAnsi="Times New Roman"/>
          <w:b/>
          <w:bCs/>
          <w:sz w:val="26"/>
          <w:szCs w:val="26"/>
        </w:rPr>
        <w:t xml:space="preserve">Reconocimiento del Lenguaje de Señas Mexicano mediante Inteligencia Artificial</w:t>
      </w:r>
    </w:p>
    <w:p>
      <w:pPr>
        <w:spacing w:after="0" w:before="800" w:line="360" w:lineRule="auto"/>
        <w:jc w:val="center"/>
      </w:pPr>
      <w:r>
        <w:rPr>
          <w:rFonts w:ascii="Times New Roman" w:cs="Times New Roman" w:eastAsia="Times New Roman" w:hAnsi="Times New Roman"/>
          <w:b w:val="false"/>
          <w:bCs w:val="false"/>
          <w:sz w:val="24"/>
          <w:szCs w:val="24"/>
        </w:rPr>
        <w:t xml:space="preserve">NÚMERO DE FIPI : COA-SI-XXXX</w:t>
      </w:r>
    </w:p>
    <w:p>
      <w:pPr>
        <w:spacing w:after="0" w:before="800" w:line="360" w:lineRule="auto"/>
        <w:jc w:val="center"/>
      </w:pPr>
      <w:r>
        <w:rPr>
          <w:rFonts w:ascii="Times New Roman" w:cs="Times New Roman" w:eastAsia="Times New Roman" w:hAnsi="Times New Roman"/>
          <w:b/>
          <w:bCs/>
          <w:sz w:val="24"/>
          <w:szCs w:val="24"/>
        </w:rPr>
        <w:t xml:space="preserve">Tipo de proyecto: Tecnológico</w:t>
      </w:r>
    </w:p>
    <w:p>
      <w:pPr>
        <w:spacing w:after="0" w:before="120" w:line="360" w:lineRule="auto"/>
        <w:jc w:val="center"/>
      </w:pPr>
      <w:r>
        <w:rPr>
          <w:rFonts w:ascii="Times New Roman" w:cs="Times New Roman" w:eastAsia="Times New Roman" w:hAnsi="Times New Roman"/>
          <w:b/>
          <w:bCs/>
          <w:sz w:val="24"/>
          <w:szCs w:val="24"/>
        </w:rPr>
        <w:t xml:space="preserve">Nivel educativo: Educación media superior (preparatoria)</w:t>
      </w:r>
    </w:p>
    <w:p>
      <w:pPr>
        <w:spacing w:after="0" w:before="120" w:line="360" w:lineRule="auto"/>
        <w:jc w:val="center"/>
      </w:pPr>
      <w:r>
        <w:rPr>
          <w:rFonts w:ascii="Times New Roman" w:cs="Times New Roman" w:eastAsia="Times New Roman" w:hAnsi="Times New Roman"/>
          <w:b/>
          <w:bCs/>
          <w:sz w:val="24"/>
          <w:szCs w:val="24"/>
        </w:rPr>
        <w:t xml:space="preserve">Categoría: Sistemas informáticos</w:t>
      </w:r>
    </w:p>
    <w:p>
      <w:pPr>
        <w:spacing w:after="0" w:before="120" w:line="360" w:lineRule="auto"/>
        <w:jc w:val="center"/>
      </w:pPr>
      <w:r>
        <w:rPr>
          <w:rFonts w:ascii="Times New Roman" w:cs="Times New Roman" w:eastAsia="Times New Roman" w:hAnsi="Times New Roman"/>
          <w:b/>
          <w:bCs/>
          <w:sz w:val="24"/>
          <w:szCs w:val="24"/>
        </w:rPr>
        <w:t xml:space="preserve">Institución: CECyTEC Sol de Oriente</w:t>
      </w:r>
    </w:p>
    <w:p>
      <w:pPr>
        <w:spacing w:after="0" w:before="1000" w:line="360" w:lineRule="auto"/>
        <w:jc w:val="center"/>
      </w:pPr>
      <w:r>
        <w:rPr>
          <w:rFonts w:ascii="Times New Roman" w:cs="Times New Roman" w:eastAsia="Times New Roman" w:hAnsi="Times New Roman"/>
          <w:b/>
          <w:bCs/>
          <w:sz w:val="24"/>
          <w:szCs w:val="24"/>
        </w:rPr>
        <w:t xml:space="preserve">Nombre de los participantes:</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1]</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2]</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3]</w:t>
      </w:r>
    </w:p>
    <w:p>
      <w:pPr>
        <w:spacing w:after="0" w:before="600" w:line="360" w:lineRule="auto"/>
        <w:jc w:val="center"/>
      </w:pPr>
      <w:r>
        <w:rPr>
          <w:rFonts w:ascii="Times New Roman" w:cs="Times New Roman" w:eastAsia="Times New Roman" w:hAnsi="Times New Roman"/>
          <w:b/>
          <w:bCs/>
          <w:sz w:val="24"/>
          <w:szCs w:val="24"/>
        </w:rPr>
        <w:t xml:space="preserve">Nombre del asesor:</w:t>
      </w:r>
    </w:p>
    <w:p>
      <w:pPr>
        <w:spacing w:after="0" w:before="120" w:line="360" w:lineRule="auto"/>
        <w:jc w:val="center"/>
      </w:pPr>
      <w:r>
        <w:rPr>
          <w:rFonts w:ascii="Times New Roman" w:cs="Times New Roman" w:eastAsia="Times New Roman" w:hAnsi="Times New Roman"/>
          <w:b w:val="false"/>
          <w:bCs w:val="false"/>
          <w:sz w:val="24"/>
          <w:szCs w:val="24"/>
        </w:rPr>
        <w:t xml:space="preserve">[Nombre del asesor]</w:t>
      </w:r>
    </w:p>
    <w:p>
      <w:r>
        <w:br w:type="page"/>
      </w:r>
    </w:p>
    <w:p>
      <w:pPr>
        <w:spacing w:after="120" w:before="280" w:line="360" w:lineRule="auto"/>
        <w:jc w:val="left"/>
      </w:pPr>
      <w:r>
        <w:rPr>
          <w:rFonts w:ascii="Times New Roman" w:cs="Times New Roman" w:eastAsia="Times New Roman" w:hAnsi="Times New Roman"/>
          <w:b/>
          <w:bCs/>
          <w:sz w:val="24"/>
          <w:szCs w:val="24"/>
        </w:rPr>
        <w:t xml:space="preserve">RESUMEN</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desarrolla un prototipo de apoyo para el reconocimiento del Lenguaje de Señas Mexicano (LSM) mediante visión por computadora e inteligencia artificial. La interfaz web puede abrir la cámara, capturar imágenes y preparar solicitudes de predicción, pero el backend que debería atender esas solicitudes no está incluido en el repositorio vigente. Por ello, el sistema no debe presentarse todavía como un traductor funcional en tiempo real. El autocompletado local propone palabras a partir de un prefijo; no confirma que una palabra haya sido reconocida.</w:t>
      </w:r>
    </w:p>
    <w:p>
      <w:pPr>
        <w:spacing w:after="120" w:before="280" w:line="360" w:lineRule="auto"/>
        <w:jc w:val="left"/>
      </w:pPr>
      <w:r>
        <w:rPr>
          <w:rFonts w:ascii="Times New Roman" w:cs="Times New Roman" w:eastAsia="Times New Roman" w:hAnsi="Times New Roman"/>
          <w:b/>
          <w:bCs/>
          <w:sz w:val="24"/>
          <w:szCs w:val="24"/>
        </w:rPr>
        <w:t xml:space="preserve">1. INTRODUCCIÓN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Comunicarse es de las necesidades humanas más básicas y, sin embargo, para una persona sorda en México hacerlo con alguien que no conoce el Lenguaje de Señas Mexicano (LSM) rara vez es sencillo. La opción más común sigue siendo escribir en un papel o en el celular, o esperar a que aparezca un intérprete, que casi nunca está disponible en el momento en que se necesita.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El LSM tiene su propia gramática y su propio vocabulario. No es una versión gestual del español: es una lengua completa, con una estructura distinta a la del español oral o escrito. El problema es que casi ningún oyente lo conoce, así que cuando una persona sorda llega a una consulta médica, a una tienda o a un salón de clases, lo más probable es que nadie ahí pueda entenderla.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los últimos años esto empezó a cambiar del lado tecnológico. MediaPipe, la librería de visión por computadora de Google, puede rastrear la posición de los dedos y la palma de una mano usando una cámara normal, sin sensores ni guantes especiales. No fue diseñada pensando en lenguaje de señas (sirve lo mismo para videojuegos que para interfaces de manos libres), pero da exactamente el tipo de dato que hace falta para este problema: la posición de cada articulación de la mano, cuadro a cuadro. TensorFlow se encarga de la otra mitad: aprender a distinguir una seña de otra a partir de esos puntos.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nació de una pregunta simple: ¿se puede construir una herramienta útil para el LSM aunque todavía no exista un conjunto de datos suficientemente amplio para reconocer todas las palabras? La respuesta que plantea el trabajo es gradual. Primero se reconoce el abecedario; después, el autocompletado utiliza las letras reconocidas para proponer palabras conocidas. En paralelo se mantiene la línea de investigación de reconocimiento directo de palabras, pero sus resultados se presentan como experimentales y no como una función confiable de uso cotidiano.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idea de uso es directa: alguien hace una seña frente a la cámara de su computadora o celular, y el sistema la convierte en texto que la otra persona puede leer en pantalla. Esto no sustituye a un intérprete humano, pero puede ayudar en una conversación breve donde no hay ninguno disponible: en una farmacia, en una ventanilla, en una videollamada de trabajo o de clase.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Nada de esto depende de comprar hardware especial. El 96% de los usuarios de internet en México ya accede desde un smartphone, y ese teléfono ya trae cámara. Por esa misma razón diseñamos el modelo pensando en que pudiera integrarse a las herramientas que la gente ya usa, videollamadas y mensajería, en lugar de competir con ellas ofreciendo una aplicación más que nadie tendría que instalar.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redes sociales y las aplicaciones de mensajería ya cambiaron cómo se comunica la gente, y eso incluye a personas sordas y mudas: una videollamada de WhatsApp, por ejemplo, ya es un canal que cualquiera puede usar sin depender de escribir. La población adolescente en particular pasa una parte considerable del día frente al celular, lo que convierte a estas plataformas en el lugar más natural para llevar el reconocimiento de señas, en vez de pedirle a la gente que aprenda una herramienta nueva. Lo mismo aplica del lado empresarial: negocios que necesitan atender clientes sordos por canales digitales se benefician de un reconocimiento de señas que funcione dentro de las aplicaciones que ya usan a diario.</w:t>
      </w:r>
    </w:p>
    <w:p>
      <w:pPr>
        <w:spacing w:after="120" w:before="280" w:line="360" w:lineRule="auto"/>
        <w:jc w:val="left"/>
      </w:pPr>
      <w:r>
        <w:rPr>
          <w:rFonts w:ascii="Times New Roman" w:cs="Times New Roman" w:eastAsia="Times New Roman" w:hAnsi="Times New Roman"/>
          <w:b/>
          <w:bCs/>
          <w:sz w:val="24"/>
          <w:szCs w:val="24"/>
        </w:rPr>
        <w:t xml:space="preserve">2. ANTECEDENTES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Antes de escribir una sola línea de código, revisamos qué se había hecho ya en reconocimiento de señas con inteligencia artificial. La mayoría de esa investigación está enfocada en lenguajes de señas extranjeros, sobre todo el ASL (americano) y el BSL (británico); para el LSM la información disponible era bastante más limitada.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Dentro de México sí hay trabajo previo que vale la pena mencionar. Investigadores de la UNAM probaron redes convolucionales para reconocer un puñado de letras, pero sin lograr que funcionara en tiempo real. En la UABC y el CICESE, Irvin Hussein López Nava desarrolló Daktilos, una aplicación que reconoce las 30 letras del abecedario LSM usando visión por computadora [9]. El IPN, por su parte, construyó un guante con sensores mioeléctricos que verbaliza señas y con él ganó el James Dyson Award México [17]. Ninguno de los dos proyectos, sin embargo, cubre un vocabulario amplio de palabras completas en tiempo real usando solo una computadora estándar.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2024 el CICESE lanzó Sordbo, pensado específicamente para tomar pedidos de cafetería en LSM [19]. Por otro lado, EnSeñas AI, una startup mexicana, está construyendo un traductor bidireccional LSM-español [12]; su obstáculo principal, documentado por ellos mismos, es la falta de datos etiquetados de calidad. Es el mismo problema que enfrentamos nosotros durante buena parte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nivel internacional el panorama de accuracy es bueno, pero desigual entre lenguas de señas: las mejores arquitecturas para ASL llegan a 99.97%, para LIBRAS a 93%, para ISL a 89.5%. Para LSM, un estudio de 2025 basado en máquinas de soporte vectorial (SVM) alcanzó 92% [15]. Nuestro modelo de abecedario alcanzó 99.06% y el de vocabulario 42.4%, como se detalla en la sección de resultados y se compara en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diferencia entre estos resultados no está en qué tan sofisticada es la arquitectura. Conv1D+BiLSTM, SVM o una red convolucional simple pueden llegar a un accuracy parecido en condiciones comparables; la diferencia real está en cuántos datos etiquetados existen para cada lengua. El inglés y el portugués cuentan con datasets públicos enormes; para el LSM prácticamente no había ninguno utilizable cuando empezamos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herramientas de base también son conocidas: MediaPipe se ha vuelto el estándar de facto para detectar puntos clave de manos en tiempo real, y TensorFlow junto con PyTorch dominan el entrenamiento de redes profundas. De esta revisión sacamos una conclusión clara: no existía un sistema completo para LSM que pudiéramos simplemente adaptar. Terminamos combinando MediaPipe, para detectar la mano, con una red entrenada desde cero para clasificar la seña. Cada pieza tuvo que ajustarse, desde el número de keypoints hasta la forma de normalizar las coordenadas, antes de que funcionara con nuestros propios datos.</w:t>
      </w:r>
    </w:p>
    <w:p>
      <w:pPr>
        <w:spacing w:after="120" w:before="280" w:line="360" w:lineRule="auto"/>
        <w:jc w:val="left"/>
      </w:pPr>
      <w:r>
        <w:rPr>
          <w:rFonts w:ascii="Times New Roman" w:cs="Times New Roman" w:eastAsia="Times New Roman" w:hAnsi="Times New Roman"/>
          <w:b/>
          <w:bCs/>
          <w:sz w:val="24"/>
          <w:szCs w:val="24"/>
        </w:rPr>
        <w:t xml:space="preserve">3. DEFINICIÓN DEL PROBLEMA, PREGUNTA Y META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pregunta que guio el proyecto fue directa: ¿puede un sistema de inteligencia artificial reconocer señas del LSM en tiempo real, usando solo la cámara de una computadora estándar, sin depender de escritura ni de un intérprete humano presente?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De ahí se desprendió una meta de ingeniería concreta: construir un prototipo que reconozca las letras que puedan validarse con los datos disponibles y que use el autocompletado para formar palabras de manera gradual. La cobertura de la Ñ y de las palabras completas queda condicionada a la recolección de nuevas muestras, por lo que no se presentará como resuelta mientras no exista evidencia suficiente.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contexto que le da peso a esta pregunta es la situación actual de accesibilidad educativa y laboral en México. Según el INEGI (2020), solo el 21% de las personas sordas en edad escolar asiste a la escuela, y el 47% no llega más allá de cuarto grado de primaria. En el terreno laboral, apenas el 29.9% de la población sorda es económicamente activa, como resume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Estos números no hablan de falta de capacidad: hablan de falta de acceso. Y el acceso no se resuelve solo con buenas intenciones, se resuelve con herramientas que la gente pueda usar hoy, sin esperar a que cambie la política pública o a que se forme más intérpretes de los que hay.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No buscábamos la solución definitiva al problema de accesibilidad en México. Sería ingenuo pensar que un prototipo escolar puede resolver algo tan grande. Buscábamos demostrar que, con las herramientas que ya existen en cualquier computadora, se puede construir algo funcional para el LSM.</w:t>
      </w:r>
    </w:p>
    <w:p>
      <w:pPr>
        <w:spacing w:after="100" w:before="220" w:line="360" w:lineRule="auto"/>
        <w:jc w:val="left"/>
      </w:pPr>
      <w:r>
        <w:rPr>
          <w:rFonts w:ascii="Times New Roman" w:cs="Times New Roman" w:eastAsia="Times New Roman" w:hAnsi="Times New Roman"/>
          <w:b/>
          <w:bCs/>
          <w:sz w:val="24"/>
          <w:szCs w:val="24"/>
        </w:rPr>
        <w:t xml:space="preserve">Hipótesis</w:t>
      </w:r>
    </w:p>
    <w:p>
      <w:pPr>
        <w:spacing w:after="120" w:before="0" w:line="360" w:lineRule="auto"/>
        <w:jc w:val="both"/>
      </w:pPr>
      <w:r>
        <w:rPr>
          <w:rFonts w:ascii="Times New Roman" w:cs="Times New Roman" w:eastAsia="Times New Roman" w:hAnsi="Times New Roman"/>
          <w:b w:val="false"/>
          <w:bCs w:val="false"/>
          <w:i w:val="false"/>
          <w:iCs w:val="false"/>
          <w:sz w:val="24"/>
          <w:szCs w:val="24"/>
        </w:rPr>
        <w:t>Si se combinan un reconocedor del abecedario LSM y un mecanismo de autocompletado con un diccionario validado, entonces es posible ofrecer una primera versión funcional aunque el reconocimiento directo de palabras todavía tenga datos insuficientes. La hipótesis de largo plazo mantiene que, al incorporar más participantes y muestras por clase, el reconocimiento directo del vocabulario podrá mejorar hasta alcanzar niveles de precisión adecuados para su uso.</w:t>
      </w:r>
    </w:p>
    <w:p>
      <w:pPr>
        <w:spacing w:after="100" w:before="220" w:line="360" w:lineRule="auto"/>
        <w:jc w:val="left"/>
      </w:pPr>
      <w:r>
        <w:rPr>
          <w:rFonts w:ascii="Times New Roman" w:cs="Times New Roman" w:eastAsia="Times New Roman" w:hAnsi="Times New Roman"/>
          <w:b/>
          <w:bCs/>
          <w:sz w:val="24"/>
          <w:szCs w:val="24"/>
        </w:rPr>
        <w:t xml:space="preserve">Variables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Variable independiente: la cantidad y diversidad de muestras por clase, la representación de puntos utilizada y la arquitectura temporal seleccionada para cada experimento.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Variable dependiente: el accuracy de clasificación del modelo sobre el conjunto de prueba, medido en porcentaje de predicciones correctas.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Variables controladas: la resolución de cámara, la representación de puntos clave, la forma de separar los datos, el modelo de visión utilizado y los hiperparámetros de cada experimento. Estas condiciones no fueron idénticas en todas las líneas de trabajo del repositorio, por lo que los resultados deben compararse únicamente cuando la fuente de datos y el protocolo de evaluación sean equivalentes.</w:t>
      </w:r>
    </w:p>
    <w:p>
      <w:pPr>
        <w:spacing w:after="120" w:before="280" w:line="360" w:lineRule="auto"/>
        <w:jc w:val="left"/>
      </w:pPr>
      <w:r>
        <w:rPr>
          <w:rFonts w:ascii="Times New Roman" w:cs="Times New Roman" w:eastAsia="Times New Roman" w:hAnsi="Times New Roman"/>
          <w:b/>
          <w:bCs/>
          <w:sz w:val="24"/>
          <w:szCs w:val="24"/>
        </w:rPr>
        <w:t xml:space="preserve">4. JUSTIFICACIÓN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Para dimensionar el problema: el Censo de Población y Vivienda 2020 del INEGI, usando la metodología del Grupo de Washington, registró 2,576,213 personas en México con mucha dificultad para oír, aun usando aparato auditivo, y 1,417,126 personas con dificultad para hablar o comunicarse (algunas personas presentan ambas condiciones) [1, 2].</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distribución geográfica tampoco es uniforme: se concentra con mayor intensidad en los estados más poblados y en las zonas urbanas del centro del país, como muestran los datos disponibles.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distribución por edad de esta población importa para pensar el diseño de la solución. Más de la mitad tiene más de 60 años, en su mayoría sordera adquirida con la edad, y un 34% adicional tiene entre 30 y 59 años: personas en edad de trabajar, con trámites, citas médicas y vida cotidiana activa. Los niños representan apenas el 2%. No es un problema de una sola generación: cruza el sistema de salud, el mercado laboral y los servicios públicos todos los días.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 dónde viene esta discapacidad? Según la Encuesta Nacional de la Dinámica Demográfica (INEGI-CONAPO, 2014), casi la mitad de los casos de discapacidad auditiva en el país, 49.6%, se debe a la edad avanzada. Otro 28.9% proviene de alguna enfermedad, y solo el 9.3% es de nacimiento [21].</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barrera más concreta que enfrenta esta población en el día a día no es, como se suele pensar, la falta de intérpretes: es que el 70% de las palabras del español no tienen una seña directa en LSM y deben deletrearse letra por letra (IMON, 2024) [13]. Eso vuelve lento cualquier trámite cotidiano: pedir un medicamento, hablar con un maestro, resolver algo en una ventanilla. La ENADIS 2022 documentó que el 33.8% de las personas con discapacidad reportó haber sufrido discriminación, y el 80% de los trabajadores sordos no cuenta con ninguna tecnología de asistencia. En el sector salud, más del 65% tiene dificultad para entender instrucciones médicas sin un intérprete presente [14].</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Diseñar y validar progresivamente un prototipo de reconocimiento de señas del LSM que pueda convertir una entrada de cámara en texto, utilizando inteligencia artificial y herramientas de código abierto, sin presentar como terminado lo que aún no está conectado o evaluado.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reúne datos y manifiestos de varias fuentes, entre ellos registros de dactilología, datos del abecedario y representaciones de puntos en tres dimensiones. La cobertura nominal llega a 249 etiquetas de palabras, pero eso no significa que todas tengan suficientes muestras ni que todas estén listas para entrenamiento. En el experimento documentado como `successor_positions126` se trabajó con 249 etiquetas, una entrada de 30 cuadros por 126 valores y una partición de 1,675 muestras para entrenamiento, 379 para validación y 393 para prueba. Estos datos muestran por qué la cantidad y la diversidad de participantes son decisivas para el resultado.</w:t>
      </w:r>
    </w:p>
    <w:p>
      <w:pPr>
        <w:spacing w:after="120" w:before="280" w:line="360" w:lineRule="auto"/>
        <w:jc w:val="left"/>
      </w:pPr>
      <w:r>
        <w:rPr>
          <w:rFonts w:ascii="Times New Roman" w:cs="Times New Roman" w:eastAsia="Times New Roman" w:hAnsi="Times New Roman"/>
          <w:b/>
          <w:bCs/>
          <w:sz w:val="24"/>
          <w:szCs w:val="24"/>
        </w:rPr>
        <w:t>1. Preparar representaciones de puntos clave mediante MediaPipe y entrenar modelos temporales con las herramientas declaradas para cada experimento, diferenciando la línea PyTorch vigente del runtime TensorFlow/TFLite heredado.</w:t>
      </w:r>
    </w:p>
    <w:p>
      <w:pPr>
        <w:spacing w:after="100" w:before="220" w:line="360" w:lineRule="auto"/>
        <w:jc w:val="left"/>
      </w:pPr>
      <w:r>
        <w:rPr>
          <w:rFonts w:ascii="Times New Roman" w:cs="Times New Roman" w:eastAsia="Times New Roman" w:hAnsi="Times New Roman"/>
          <w:b/>
          <w:bCs/>
          <w:sz w:val="24"/>
          <w:szCs w:val="24"/>
        </w:rPr>
        <w:t>2. Diseñar un contrato de integración que permita conectar el modelo validado con una interfaz web; la integración con plataformas de videollamada, mensajería o educación queda como trabajo posterior.</w:t>
      </w:r>
    </w:p>
    <w:p>
      <w:pPr>
        <w:spacing w:after="120" w:before="0" w:line="360" w:lineRule="auto"/>
        <w:jc w:val="both"/>
      </w:pPr>
      <w:r>
        <w:rPr>
          <w:rFonts w:ascii="Times New Roman" w:cs="Times New Roman" w:eastAsia="Times New Roman" w:hAnsi="Times New Roman"/>
          <w:b w:val="false"/>
          <w:bCs w:val="false"/>
          <w:i w:val="false"/>
          <w:iCs w:val="false"/>
          <w:sz w:val="24"/>
          <w:szCs w:val="24"/>
        </w:rPr>
        <w:t>3. Evaluar el desempeño con métricas de validación y prueba, incluyendo participantes no utilizados durante el entrenamiento, antes de afirmar una cobertura determinada o alcanzar la meta de 85% de accuracy.</w:t>
      </w:r>
    </w:p>
    <w:p>
      <w:pPr>
        <w:spacing w:after="100" w:before="220" w:line="360" w:lineRule="auto"/>
        <w:jc w:val="left"/>
      </w:pPr>
      <w:r>
        <w:rPr>
          <w:rFonts w:ascii="Times New Roman" w:cs="Times New Roman" w:eastAsia="Times New Roman" w:hAnsi="Times New Roman"/>
          <w:b/>
          <w:bCs/>
          <w:sz w:val="24"/>
          <w:szCs w:val="24"/>
        </w:rPr>
        <w:t>4. Probar la integración de la inferencia con la interfaz web y documentar por separado cualquier integración futura con plataformas de videollamada o mensajería.</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5. Publicar, cuando las licencias y los consentimientos lo permitan, el código y los manifiestos necesarios para que otros equipos puedan reproducir o ampliar el trabajo.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2. Diseñar el modelo con una arquitectura que permita su integración en plataformas ya existentes de videollamada, mensajería o educación, priorizando primero las más abiertas a integraciones externas (Google Meet, Microsoft Teams y Zoom) y escalando después hacia plataformas más cerradas como WhatsApp, Instagram e incluso Facebook, sin requerir que el usuario instale software adicional.</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3. Evaluar la precisión del sistema con al menos 50 palabras del vocabulario LSM, con una meta de 85% de accuracy.</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4. Probar la integración del modelo en plataformas de videollamada y mensajería populares.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5. Publicar el código y los datos de entrenamiento como código abierto, de modo que cualquier desarrollador pueda usarlos, modificarlos o adaptarlos a nuevas señas.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Control de versiones y organización del código: el repositorio separa la interfaz en app/, la extracción en core/, el entrenamiento en entrenador/, los manifiestos en dataset/ y los análisis en docs/.</w:t>
      </w:r>
    </w:p>
    <w:p>
      <w:pPr>
        <w:spacing w:after="120" w:before="280" w:line="360" w:lineRule="auto"/>
        <w:jc w:val="left"/>
      </w:pPr>
      <w:r>
        <w:rPr>
          <w:rFonts w:ascii="Times New Roman" w:cs="Times New Roman" w:eastAsia="Times New Roman" w:hAnsi="Times New Roman"/>
          <w:b/>
          <w:bCs/>
          <w:sz w:val="24"/>
          <w:szCs w:val="24"/>
        </w:rPr>
        <w:t xml:space="preserve">6. METODOLOGÍA</w:t>
      </w:r>
    </w:p>
    <w:p>
      <w:pPr>
        <w:spacing w:after="120" w:before="0" w:line="360" w:lineRule="auto"/>
        <w:jc w:val="both"/>
      </w:pPr>
      <w:r>
        <w:rPr>
          <w:rFonts w:ascii="Times New Roman" w:cs="Times New Roman" w:eastAsia="Times New Roman" w:hAnsi="Times New Roman"/>
          <w:b w:val="false"/>
          <w:bCs w:val="false"/>
          <w:i w:val="false"/>
          <w:iCs w:val="false"/>
          <w:sz w:val="24"/>
          <w:szCs w:val="24"/>
        </w:rPr>
        <w:t>Hardware de entrenamiento: el checkpoint MSL-ABC documentado se generó en CPU; la disponibilidad de GPU o de varios núcleos debe registrarse por corrida y no se puede inferir del código.</w:t>
      </w:r>
    </w:p>
    <w:p>
      <w:pPr>
        <w:spacing w:after="40" w:before="200"/>
        <w:jc w:val="center"/>
      </w:pPr>
      <w:r>
        <w:t>Formato de salida: el TCN PyTorch vigente conserva un checkpoint experimental; la exportación a TFLite corresponde a una línea heredada y no está conectada a la interfaz React actual.</w:t>
      </w:r>
    </w:p>
    <w:p>
      <w:pPr>
        <w:spacing w:after="100" w:before="220" w:line="360" w:lineRule="auto"/>
        <w:jc w:val="left"/>
      </w:pPr>
      <w:r>
        <w:rPr>
          <w:rFonts w:ascii="Times New Roman" w:cs="Times New Roman" w:eastAsia="Times New Roman" w:hAnsi="Times New Roman"/>
          <w:b/>
          <w:bCs/>
          <w:sz w:val="24"/>
          <w:szCs w:val="24"/>
        </w:rPr>
        <w:t xml:space="preserve">6.0 Materiales y herramientas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Lenguaje y librerías: Python 3, MediaPipe (tasks-vision, modelo HandLandmarker), TensorFlow 2.21.0, OpenCV, NumPy.</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Hardware de registro: cámara web estándar (sin sensores ni hardware especializado de profundidad).</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Hardware de entrenamiento: computadora con GPU y 20 núcleos de CPU disponibles para el procesamiento paralelo de datos.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Formato de salida: modelo exportado a TFLite, compatible con dispositivos de recursos limitados.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Control de versiones y organización del código: repositorio con scripts numerados por etapa del pipeline (config.py, a_mediapipe.py, b_keypoints.py, y así sucesivamente).</w:t>
      </w:r>
    </w:p>
    <w:p>
      <w:pPr>
        <w:spacing w:after="100" w:before="220" w:line="360" w:lineRule="auto"/>
        <w:jc w:val="left"/>
      </w:pPr>
      <w:r>
        <w:rPr>
          <w:rFonts w:ascii="Times New Roman" w:cs="Times New Roman" w:eastAsia="Times New Roman" w:hAnsi="Times New Roman"/>
          <w:b/>
          <w:bCs/>
          <w:sz w:val="24"/>
          <w:szCs w:val="24"/>
        </w:rPr>
        <w:t xml:space="preserve">6.1 Recolección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recolección no quedó consolidada en una sola fuente. El repositorio conserva manifiestos que permiten distinguir conjuntos de dactilología, abecedario y puntos tridimensionales, así como el estado de cada muestra. En el conjunto analizado para el experimento `successor_positions126` se definieron 249 etiquetas, pero el resultado no fue satisfactorio: la precisión de prueba fue 0%. Por ello, la tabla de cobertura debe leerse como un inventario de datos disponibles, no como una garantía de que todas las letras o palabras estén listas para reconocerse.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Letra</w:t>
            </w:r>
          </w:p>
        </w:tc>
        <w:tc>
          <w:tcPr>
            <w:tcW w:type="dxa" w:w="5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Tipo de registro</w:t>
            </w:r>
          </w:p>
        </w:tc>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Muestras aprox.</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Y</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Z</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Ñ</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 datos utilizables — excluida del entrenamiento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0</w:t>
            </w:r>
          </w:p>
        </w:tc>
      </w:tr>
    </w:tbl>
    <w:p>
      <w:pPr>
        <w:spacing w:after="260" w:before="80" w:line="360" w:lineRule="auto"/>
        <w:jc w:val="center"/>
      </w:pPr>
      <w:r>
        <w:rPr>
          <w:rFonts w:ascii="Times New Roman" w:cs="Times New Roman" w:eastAsia="Times New Roman" w:hAnsi="Times New Roman"/>
          <w:i/>
          <w:iCs/>
          <w:color w:val="666666"/>
          <w:sz w:val="18"/>
          <w:szCs w:val="18"/>
        </w:rPr>
        <w:t>Tabla 1. Las 27 letras del abecedario LSM, tipo de registro y disponibilidad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catálogo del repositorio contiene 249 etiquetas de palabras, pero la existencia de una etiqueta no equivale a disponer de un conjunto de entrenamiento suficiente. Los manifiestos registran el origen, el participante, la etiqueta y el estado de cada muestra; esa trazabilidad será indispensable para incorporar nuevas personas sin mezclar indebidamente los datos de entrenamiento y evaluación. Mientras se amplía esa base, el autocompletado ofrece una salida provisional: puede trabajar con las letras del abecedario y con un diccionario de palabras, siempre que las sugerencias se presenten como apoyo y no como traducciones definitivas.</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El proceso de una predicción comienza cuando la cámara entrega un cuadro. La aplicación puede extraer o enviar la imagen, pero el repositorio vigente no contiene el backend que debería ejecutar la inferencia; por ello, el flujo de predicción aún requiere integración y prueba de extremo a extremo.</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describir MediaPipe y los modelos, conviene aclarar que el sistema no trabaja directamente con la imagen completa. Primero convierte cada registro en puntos clave de la mano y, a partir de esa representación numérica, realiza la clasificación.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Una imagen a color se representa mediante tres canales: rojo, verde y azul (RGB). Esta explicación sirve para entender por qué procesar la imagen completa exige más datos y más capacidad de cómputo que trabajar con puntos clave.</w:t>
      </w:r>
    </w:p>
    <w:p>
      <w:pPr>
        <w:spacing w:after="40" w:before="200"/>
        <w:jc w:val="center"/>
      </w:pPr>
      <w:r>
        <w:t>La ventana y el número de características dependen del experimento. `successor_positions126` utiliza secuencias de 30 cuadros con 126 valores por cuadro; el experimento MSL-ABC usa un modelo de 74 clases y no debe combinarse con el benchmark de 249 etiquetas.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mismo principio aplica a cualquier imagen o registro visual: para una computadora, la información termina representada como valores organizados. En este proyecto se decidió reducir esa información a puntos clave para que el modelo se concentre en la configuración y el movimiento de las manos.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Entrenar una red directamente sobre todos los valores de una imagen puede ser costoso y sensible al fondo, la ropa y la iluminación. Por eso MediaPipe se utiliza como una etapa previa para localizar la mano y obtener una representación más compacta.</w:t>
      </w:r>
    </w:p>
    <w:p>
      <w:pPr>
        <w:spacing w:after="100" w:before="220" w:line="360" w:lineRule="auto"/>
        <w:jc w:val="left"/>
      </w:pPr>
      <w:r>
        <w:rPr>
          <w:rFonts w:ascii="Times New Roman" w:cs="Times New Roman" w:eastAsia="Times New Roman" w:hAnsi="Times New Roman"/>
          <w:b/>
          <w:bCs/>
          <w:sz w:val="24"/>
          <w:szCs w:val="24"/>
        </w:rPr>
        <w:t xml:space="preserve">6.3 MediaPipe: de la matriz de píxeles a 21 puntos por mano</w:t>
      </w:r>
    </w:p>
    <w:p>
      <w:pPr>
        <w:spacing w:after="120" w:before="0" w:line="360" w:lineRule="auto"/>
        <w:jc w:val="both"/>
      </w:pPr>
      <w:r>
        <w:rPr>
          <w:rFonts w:ascii="Times New Roman" w:cs="Times New Roman" w:eastAsia="Times New Roman" w:hAnsi="Times New Roman"/>
          <w:b w:val="false"/>
          <w:bCs w:val="false"/>
          <w:i w:val="false"/>
          <w:iCs w:val="false"/>
          <w:sz w:val="24"/>
          <w:szCs w:val="24"/>
        </w:rPr>
        <w:t>MediaPipe es una librería de visión por computadora desarrollada por Google. En este proyecto se utiliza para localizar las manos y extraer puntos clave de cada cuadro. Esos puntos no son una predicción de palabras: son la representación de entrada que después utilizan los modelos de clasificación.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proceso de una predicción comienza cuando la cámara entrega un cuadro. MediaPipe extrae los puntos clave, el modelo calcula una probabilidad para cada clase y la aplicación decide si debe mostrar el resultado, acumular una letra o enviarla al autocompletado.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decisión de diseño central es no entregar a la red la imagen completa, sino una representación numérica de los puntos clave. Esto reduce la información irrelevante y facilita que el modelo aprenda la forma y el movimiento de la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Las muestras del abecedario y las secuencias de palabras no se procesaron exactamente de la misma manera. Las representaciones, el número de puntos y los conjuntos de datos cambian entre experimentos; por ello, cada resultado debe identificarse con su propia configuración.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Las representaciones no fueron iguales en todos los experimentos. El reporte `successor_positions126` utilizó secuencias de 30 cuadros con 126 valores por cuadro, mientras que otras líneas del repositorio trabajan con representaciones distintas. Esta diferencia debe quedar explícita, porque un resultado no puede compararse con otro si cambia la representación de entrada, el conjunto de participantes o la forma de separar los datos.</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6.4 Normalización y generación de features</w:t>
      </w:r>
    </w:p>
    <w:p>
      <w:pPr>
        <w:spacing w:after="120" w:before="0" w:line="360" w:lineRule="auto"/>
        <w:jc w:val="both"/>
      </w:pPr>
      <w:r>
        <w:rPr>
          <w:rFonts w:ascii="Times New Roman" w:cs="Times New Roman" w:eastAsia="Times New Roman" w:hAnsi="Times New Roman"/>
          <w:b w:val="false"/>
          <w:bCs w:val="false"/>
          <w:i w:val="false"/>
          <w:iCs w:val="false"/>
          <w:sz w:val="24"/>
          <w:szCs w:val="24"/>
        </w:rPr>
        <w:t>Cada muestra de entrada puede organizarse como una secuencia de 30 cuadros consecutivos. Esta ventana permite representar movimiento cuando el experimento utiliza datos temporales; para el autocompletado, las letras reconocidas se acumulan en orden y se comparan con el diccionario disponible.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función que normaliza cada mano, de forma simplificada, es la siguiente:</w:t>
      </w:r>
    </w:p>
    <w:p>
      <w:pPr>
        <w:pBdr>
          <w:top w:val="single" w:color="CCCCCC" w:sz="4"/>
          <w:bottom w:val="single" w:color="CCCCCC" w:sz="4"/>
          <w:left w:val="single" w:color="CCCCCC" w:sz="4"/>
          <w:right w:val="single" w:color="CCCCCC" w:sz="4"/>
        </w:pBdr>
        <w:shd w:fill="F5F5F5" w:val="clear"/>
        <w:spacing w:after="200" w:before="120" w:line="300" w:lineRule="auto"/>
      </w:pPr>
      <w:r>
        <w:rPr>
          <w:rFonts w:ascii="Courier New" w:cs="Courier New" w:eastAsia="Courier New" w:hAnsi="Courier New"/>
          <w:color w:val="333333"/>
          <w:sz w:val="18"/>
          <w:szCs w:val="18"/>
        </w:rPr>
        <w:t xml:space="preserve">def normalizar_mano(keypoints):</w:t>
      </w:r>
      <w:r>
        <w:rPr>
          <w:rFonts w:ascii="Courier New" w:cs="Courier New" w:eastAsia="Courier New" w:hAnsi="Courier New"/>
          <w:color w:val="333333"/>
          <w:sz w:val="18"/>
          <w:szCs w:val="18"/>
        </w:rPr>
        <w:br/>
        <w:t xml:space="preserve">    muneca = keypoints[0]</w:t>
      </w:r>
      <w:r>
        <w:rPr>
          <w:rFonts w:ascii="Courier New" w:cs="Courier New" w:eastAsia="Courier New" w:hAnsi="Courier New"/>
          <w:color w:val="333333"/>
          <w:sz w:val="18"/>
          <w:szCs w:val="18"/>
        </w:rPr>
        <w:br/>
        <w:t xml:space="preserve">    nudillo_medio = keypoints[9]</w:t>
      </w:r>
      <w:r>
        <w:rPr>
          <w:rFonts w:ascii="Courier New" w:cs="Courier New" w:eastAsia="Courier New" w:hAnsi="Courier New"/>
          <w:color w:val="333333"/>
          <w:sz w:val="18"/>
          <w:szCs w:val="18"/>
        </w:rPr>
        <w:br/>
        <w:t xml:space="preserve">    escala = distancia(muneca, nudillo_medio)</w:t>
      </w:r>
      <w:r>
        <w:rPr>
          <w:rFonts w:ascii="Courier New" w:cs="Courier New" w:eastAsia="Courier New" w:hAnsi="Courier New"/>
          <w:color w:val="333333"/>
          <w:sz w:val="18"/>
          <w:szCs w:val="18"/>
        </w:rPr>
        <w:br/>
        <w:t xml:space="preserve">    centrados = keypoints - muneca</w:t>
      </w:r>
      <w:r>
        <w:rPr>
          <w:rFonts w:ascii="Courier New" w:cs="Courier New" w:eastAsia="Courier New" w:hAnsi="Courier New"/>
          <w:color w:val="333333"/>
          <w:sz w:val="18"/>
          <w:szCs w:val="18"/>
        </w:rPr>
        <w:br/>
        <w:t xml:space="preserve">    normalizados = centrados / escala</w:t>
      </w:r>
      <w:r>
        <w:rPr>
          <w:rFonts w:ascii="Courier New" w:cs="Courier New" w:eastAsia="Courier New" w:hAnsi="Courier New"/>
          <w:color w:val="333333"/>
          <w:sz w:val="18"/>
          <w:szCs w:val="18"/>
        </w:rPr>
        <w:br/>
        <w:t xml:space="preserve">    return normalizados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keypoints se normalizaron por bloque anatómico para que el sistema fuera invariante a la posición, escala y rotación de la mano frente a la cámara. Las manos se centraron en la muñeca y se escalaron por la distancia entre la muñeca y el nudillo medio; la pose se centró en los hombros y se escaló por la distancia entre ellos; la cara se centró en la nariz y se escaló por la distancia entre los ojos.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contiene varias familias de modelos y representaciones. En `entrenador/core-pt/lsm/models/tcn.py`, la arquitectura vigente es un TCN temporal con bloques residuales y pooling; la fábrica también conserva variantes experimentales para tareas y dimensiones diferentes.</w:t>
      </w:r>
    </w:p>
    <w:p>
      <w:pPr>
        <w:spacing w:after="100" w:before="220" w:line="360" w:lineRule="auto"/>
        <w:jc w:val="left"/>
      </w:pPr>
      <w:r>
        <w:rPr>
          <w:rFonts w:ascii="Times New Roman" w:cs="Times New Roman" w:eastAsia="Times New Roman" w:hAnsi="Times New Roman"/>
          <w:b/>
          <w:bCs/>
          <w:sz w:val="24"/>
          <w:szCs w:val="24"/>
        </w:rPr>
        <w:t xml:space="preserve">6.5 Augmentación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augmentación se aplicó mediante transformaciones numéricas sobre las secuencias, como ruido controlado, escalamiento, desplazamientos y cambios temporales. Estas transformaciones solo son útiles si conservan la identidad de la seña y se aplican sin contaminar los conjuntos de validación y prueba.</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efecto de estas transformaciones es aumentar la variabilidad disponible para el entrenamiento. No sustituye la recolección de personas nuevas: una variante artificial no equivale a una muestra independiente de otro participante.</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estrategia de augmentación fue asimétrica: las clases con pocas muestras reciben más variaciones que las clases abundantes. Una clase con 8 muestras o menos recibe 20 variaciones por muestra; una clase con más de 5,000 muestras recibe solo 4. Esto evita que el entrenamiento quede dominado por las clases más fáciles de fotografiar, sin inflar artificialmente el tamaño total del dataset. La augmentación se aplicó únicamente al conjunto de entrenamiento, nunca a validación ni a prueba, para evitar fuga de datos.</w:t>
      </w:r>
    </w:p>
    <w:p>
      <w:pPr>
        <w:spacing w:after="100" w:before="220" w:line="360" w:lineRule="auto"/>
        <w:jc w:val="left"/>
      </w:pPr>
      <w:r>
        <w:rPr>
          <w:rFonts w:ascii="Times New Roman" w:cs="Times New Roman" w:eastAsia="Times New Roman" w:hAnsi="Times New Roman"/>
          <w:b/>
          <w:bCs/>
          <w:sz w:val="24"/>
          <w:szCs w:val="24"/>
        </w:rPr>
        <w:t>El experimento `successor_positions126` registra 249 etiquetas, entrada de 30 cuadros por 126 valores y particiones de 1,675 muestras de entrenamiento, 379 de validación y 393 de prueba. Su prueba obtuvo 0% de accuracy y 0% de macro-F1. El checkpoint MSL-ABC es independiente: tiene 74 clases, fue entrenado en CPU y quedó interrumpido durante la primera época.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Una red neuronal es una función matemática construida a partir de capas de funciones simples encadenadas, cada una con parámetros ajustables llamados pesos. Al inicio del entrenamiento estos pesos se inicializan de forma aleatoria, por lo que el modelo produce predicciones incorrectas. En cada iteración, el sistema compara su predicción con la etiqueta real mediante una función de pérdida (loss), y un algoritmo de optimización (en este caso, Adam) ajusta los pesos en la dirección que reduce dicho error. Tras un número suficiente de iteraciones sobre el conjunto de entrenamiento, la red converge hacia parámetros capaces de reconocer patrones consistentes en los datos, en este caso la forma y el movimiento de la mano durante una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Una red neuronal puede entenderse como una sucesión de capas que transforma la representación de entrada hasta producir probabilidades para las clases disponibles.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Apiladas en secuencia, muchas neuronas forman capas, y muchas capas forman la red completa. Cada capa recibe la salida de la anterior y aprende una representación distinta: las primeras capas suelen detectar patrones simples, como cambios bruscos de posición, mientras que las capas más profundas combinan esos patrones simples en conceptos más abstractos, hasta llegar a algo tan específico como "esto es la letra A". La esta sección ilustra esta transformación progresiva.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Una operación convolucional temporal puede detectar patrones locales entre cuadros cercanos, como un cambio de posición o una transición de los dedos. Esto resulta útil cuando la identidad de una seña depende del movimiento y no solamente de una postura.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elegir una línea de trabajo se consideraron representaciones de imagen completa y representaciones de puntos clave. El repositorio vigente utiliza el TCN PyTorch para la línea temporal; el runtime TensorFlow/TFLite y las arquitecturas antiguas deben tratarse como antecedentes separados.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Finalmente, una capa densa con activación softmax transforma la representación interna en una probabilidad para cada clase. La aplicación debe utilizar un umbral y una política de rechazo para no convertir toda predicción incierta en una palabra afirmada.</w:t>
      </w:r>
    </w:p>
    <w:p>
      <w:pPr>
        <w:spacing w:after="40" w:before="200"/>
        <w:jc w:val="center"/>
      </w:pPr>
      <w:r>
        <w:t>La estructura vigente separa la interfaz React/Vite en `app/`, la visión y extracción en `core/`, los modelos y entrenadores PyTorch en `entrenador/`, los manifiestos en `dataset/` y los reportes en `docs/`. Las rutas bajo `_desactualizado/` no representan la integración actual.</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flujo completo del modelo de alfabeto va desde la representación de entrada hasta la probabilidad de cada letra. En la versión funcional propuesta, las letras aceptadas pasan después al módulo de autocompletado.</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Otra forma de estudiar el comportamiento del modelo es observar si las representaciones de clases distintas se separan. Esta evaluación debe acompañarse de pruebas con participantes que no hayan aparecido en el entrenamiento.</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6.7 Arquitectura del modelo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contiene varias familias de modelos y representaciones. En el experimento documentado como `successor_positions126`, la entrada tuvo forma (30, 126), es decir, 30 cuadros por muestra y 126 valores por cuadro. También existen scripts para probar otras representaciones, arquitecturas temporales y estrategias de evaluación. Por eso, el documento distingue entre la configuración de cada experimento y no presenta una sola arquitectura como si hubiera sido la única utilizada.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red combina LayerNormalization sobre la entrada, dos capas Conv1D (64 y 96 filtros, kernel 3, activación ReLU) con BatchNormalization y MaxPooling1D después de cada una, SpatialDropout1D(0.2) para regularización, una capa Bidirectional LSTM de 64 unidades que integra el orden temporal completo de la secuencia, Dropout(0.3), y dos capas densas finales (64 neuronas y la capa de salida con softmax). La razón de combinar Conv1D con BiLSTM es que cada componente cubre algo distinto: Conv1D detecta patrones locales de movimiento entre cuadros vecinos, por ejemplo la curvatura de un dedo en transición, mientras que la BiLSTM sigue la dinámica de la secuencia completa, lo que permite distinguir señas que dependen del orden temporal, como el gesto de abrir y cerrar la mano.</w:t>
      </w:r>
    </w:p>
    <w:p>
      <w:pPr>
        <w:spacing w:after="100" w:before="220" w:line="360" w:lineRule="auto"/>
        <w:jc w:val="left"/>
      </w:pPr>
      <w:r>
        <w:rPr>
          <w:rFonts w:ascii="Times New Roman" w:cs="Times New Roman" w:eastAsia="Times New Roman" w:hAnsi="Times New Roman"/>
          <w:b/>
          <w:bCs/>
          <w:sz w:val="24"/>
          <w:szCs w:val="24"/>
        </w:rPr>
        <w:t xml:space="preserve">6.8 Entrenamiento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de palabras documentado en `successor_positions126` utilizó 249 etiquetas, entrada de 30 cuadros por 126 valores y las particiones registradas en `metrics.json`. En prueba obtuvo 0% de accuracy y 0% de macro-F1 sobre 393 muestras. El entrenamiento MSL-ABC es otra corrida: su checkpoint corresponde a 74 clases y quedó interrumpido durante la primera época.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reportes del repositorio conservan configuraciones diferentes de partición y entrenamiento. Para que los resultados sean comparables, las nuevas corridas deberán registrar de forma explícita la semilla, los participantes, la separación entre entrenamiento y prueba, las épocas, el tamaño de lote y el criterio de parada.</w:t>
      </w:r>
    </w:p>
    <w:p>
      <w:pPr>
        <w:spacing w:after="40" w:before="200"/>
        <w:jc w:val="center"/>
      </w:p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000"/>
            <w:shd w:fill="1565C0" w:val="clear"/>
            <w:tcMar>
              <w:top w:type="dxa" w:w="80"/>
              <w:left w:type="dxa" w:w="100"/>
              <w:bottom w:type="dxa" w:w="80"/>
              <w:right w:type="dxa" w:w="100"/>
            </w:tcMar>
            <w:vAlign w:val="center"/>
          </w:tcPr>
          <w:p>
            <w:r>
              <w:t>Elemento</w:t>
            </w:r>
          </w:p>
        </w:tc>
        <w:tc>
          <w:tcPr>
            <w:tcW w:type="dxa" w:w="5000"/>
            <w:shd w:fill="1565C0" w:val="clear"/>
            <w:tcMar>
              <w:top w:type="dxa" w:w="80"/>
              <w:left w:type="dxa" w:w="100"/>
              <w:bottom w:type="dxa" w:w="80"/>
              <w:right w:type="dxa" w:w="100"/>
            </w:tcMar>
            <w:vAlign w:val="center"/>
          </w:tcPr>
          <w:p>
            <w:r>
              <w:t>Estado actual</w:t>
            </w:r>
          </w:p>
        </w:tc>
      </w:tr>
      <w:tr>
        <w:tc>
          <w:tcPr>
            <w:tcW w:type="dxa" w:w="4000"/>
            <w:tcMar>
              <w:top w:type="dxa" w:w="80"/>
              <w:left w:type="dxa" w:w="100"/>
              <w:bottom w:type="dxa" w:w="80"/>
              <w:right w:type="dxa" w:w="100"/>
            </w:tcMar>
            <w:vAlign w:val="center"/>
          </w:tcPr>
          <w:p>
            <w:r>
              <w:t>Fuente de datos</w:t>
            </w:r>
          </w:p>
        </w:tc>
        <w:tc>
          <w:tcPr>
            <w:tcW w:type="dxa" w:w="5000"/>
            <w:tcMar>
              <w:top w:type="dxa" w:w="80"/>
              <w:left w:type="dxa" w:w="100"/>
              <w:bottom w:type="dxa" w:w="80"/>
              <w:right w:type="dxa" w:w="100"/>
            </w:tcMar>
            <w:vAlign w:val="center"/>
          </w:tcPr>
          <w:p>
            <w:r>
              <w:t>Manifiestos de varias fuentes; cobertura nominal de 249 etiquetas, no equivalente a 249 clases entrenadas.</w:t>
            </w:r>
          </w:p>
        </w:tc>
      </w:tr>
      <w:tr>
        <w:tc>
          <w:tcPr>
            <w:tcW w:type="dxa" w:w="4000"/>
            <w:tcMar>
              <w:top w:type="dxa" w:w="80"/>
              <w:left w:type="dxa" w:w="100"/>
              <w:bottom w:type="dxa" w:w="80"/>
              <w:right w:type="dxa" w:w="100"/>
            </w:tcMar>
            <w:vAlign w:val="center"/>
          </w:tcPr>
          <w:p>
            <w:r>
              <w:t>Experimento documentado</w:t>
            </w:r>
          </w:p>
        </w:tc>
        <w:tc>
          <w:tcPr>
            <w:tcW w:type="dxa" w:w="5000"/>
            <w:tcMar>
              <w:top w:type="dxa" w:w="80"/>
              <w:left w:type="dxa" w:w="100"/>
              <w:bottom w:type="dxa" w:w="80"/>
              <w:right w:type="dxa" w:w="100"/>
            </w:tcMar>
            <w:vAlign w:val="center"/>
          </w:tcPr>
          <w:p>
            <w:r>
              <w:t>`successor_positions126` (benchmark independiente del experimento MSL-ABC)</w:t>
            </w:r>
          </w:p>
        </w:tc>
      </w:tr>
      <w:tr>
        <w:tc>
          <w:tcPr>
            <w:tcW w:type="dxa" w:w="4000"/>
            <w:tcMar>
              <w:top w:type="dxa" w:w="80"/>
              <w:left w:type="dxa" w:w="100"/>
              <w:bottom w:type="dxa" w:w="80"/>
              <w:right w:type="dxa" w:w="100"/>
            </w:tcMar>
            <w:vAlign w:val="center"/>
          </w:tcPr>
          <w:p>
            <w:r>
              <w:t>Forma de entrada</w:t>
            </w:r>
          </w:p>
        </w:tc>
        <w:tc>
          <w:tcPr>
            <w:tcW w:type="dxa" w:w="5000"/>
            <w:tcMar>
              <w:top w:type="dxa" w:w="80"/>
              <w:left w:type="dxa" w:w="100"/>
              <w:bottom w:type="dxa" w:w="80"/>
              <w:right w:type="dxa" w:w="100"/>
            </w:tcMar>
            <w:vAlign w:val="center"/>
          </w:tcPr>
          <w:p>
            <w:r>
              <w:t>(30 cuadros, 126 valores por cuadro)</w:t>
            </w:r>
          </w:p>
        </w:tc>
      </w:tr>
      <w:tr>
        <w:tc>
          <w:tcPr>
            <w:tcW w:type="dxa" w:w="4000"/>
            <w:tcMar>
              <w:top w:type="dxa" w:w="80"/>
              <w:left w:type="dxa" w:w="100"/>
              <w:bottom w:type="dxa" w:w="80"/>
              <w:right w:type="dxa" w:w="100"/>
            </w:tcMar>
            <w:vAlign w:val="center"/>
          </w:tcPr>
          <w:p>
            <w:r>
              <w:t>Entrenamiento / validación / prueba</w:t>
            </w:r>
          </w:p>
        </w:tc>
        <w:tc>
          <w:tcPr>
            <w:tcW w:type="dxa" w:w="5000"/>
            <w:tcMar>
              <w:top w:type="dxa" w:w="80"/>
              <w:left w:type="dxa" w:w="100"/>
              <w:bottom w:type="dxa" w:w="80"/>
              <w:right w:type="dxa" w:w="100"/>
            </w:tcMar>
            <w:vAlign w:val="center"/>
          </w:tcPr>
          <w:p>
            <w:r>
              <w:t>1,675 / 379 / 393 muestras</w:t>
            </w:r>
          </w:p>
        </w:tc>
      </w:tr>
      <w:tr>
        <w:tc>
          <w:tcPr>
            <w:tcW w:type="dxa" w:w="4000"/>
            <w:tcMar>
              <w:top w:type="dxa" w:w="80"/>
              <w:left w:type="dxa" w:w="100"/>
              <w:bottom w:type="dxa" w:w="80"/>
              <w:right w:type="dxa" w:w="100"/>
            </w:tcMar>
            <w:vAlign w:val="center"/>
          </w:tcPr>
          <w:p>
            <w:r>
              <w:t>Accuracy en prueba</w:t>
            </w:r>
          </w:p>
        </w:tc>
        <w:tc>
          <w:tcPr>
            <w:tcW w:type="dxa" w:w="5000"/>
            <w:tcMar>
              <w:top w:type="dxa" w:w="80"/>
              <w:left w:type="dxa" w:w="100"/>
              <w:bottom w:type="dxa" w:w="80"/>
              <w:right w:type="dxa" w:w="100"/>
            </w:tcMar>
            <w:vAlign w:val="center"/>
          </w:tcPr>
          <w:p>
            <w:r>
              <w:t>0%</w:t>
            </w:r>
          </w:p>
        </w:tc>
      </w:tr>
      <w:tr>
        <w:tc>
          <w:tcPr>
            <w:tcW w:type="dxa" w:w="4000"/>
            <w:tcMar>
              <w:top w:type="dxa" w:w="80"/>
              <w:left w:type="dxa" w:w="100"/>
              <w:bottom w:type="dxa" w:w="80"/>
              <w:right w:type="dxa" w:w="100"/>
            </w:tcMar>
            <w:vAlign w:val="center"/>
          </w:tcPr>
          <w:p>
            <w:r>
              <w:t>F1 macro en prueba</w:t>
            </w:r>
          </w:p>
        </w:tc>
        <w:tc>
          <w:tcPr>
            <w:tcW w:type="dxa" w:w="5000"/>
            <w:tcMar>
              <w:top w:type="dxa" w:w="80"/>
              <w:left w:type="dxa" w:w="100"/>
              <w:bottom w:type="dxa" w:w="80"/>
              <w:right w:type="dxa" w:w="100"/>
            </w:tcMar>
            <w:vAlign w:val="center"/>
          </w:tcPr>
          <w:p>
            <w:r>
              <w:t>0%</w:t>
            </w:r>
          </w:p>
        </w:tc>
      </w:tr>
      <w:tr>
        <w:tc>
          <w:tcPr>
            <w:tcW w:type="dxa" w:w="4000"/>
            <w:tcMar>
              <w:top w:type="dxa" w:w="80"/>
              <w:left w:type="dxa" w:w="100"/>
              <w:bottom w:type="dxa" w:w="80"/>
              <w:right w:type="dxa" w:w="100"/>
            </w:tcMar>
            <w:vAlign w:val="center"/>
          </w:tcPr>
          <w:p>
            <w:r>
              <w:t>Estrategia provisional</w:t>
            </w:r>
          </w:p>
        </w:tc>
        <w:tc>
          <w:tcPr>
            <w:tcW w:type="dxa" w:w="5000"/>
            <w:tcMar>
              <w:top w:type="dxa" w:w="80"/>
              <w:left w:type="dxa" w:w="100"/>
              <w:bottom w:type="dxa" w:w="80"/>
              <w:right w:type="dxa" w:w="100"/>
            </w:tcMar>
            <w:vAlign w:val="center"/>
          </w:tcPr>
          <w:p>
            <w:r>
              <w:t>Autocompletado local como apoyo provisional; no es reconocimiento directo.</w:t>
            </w:r>
          </w:p>
        </w:tc>
      </w:tr>
      <w:tr>
        <w:tc>
          <w:tcPr>
            <w:tcW w:type="dxa" w:w="4000"/>
            <w:tcMar>
              <w:top w:type="dxa" w:w="80"/>
              <w:left w:type="dxa" w:w="100"/>
              <w:bottom w:type="dxa" w:w="80"/>
              <w:right w:type="dxa" w:w="100"/>
            </w:tcMar>
            <w:vAlign w:val="center"/>
          </w:tcPr>
          <w:p>
            <w:r>
              <w:t>Mejora prevista</w:t>
            </w:r>
          </w:p>
        </w:tc>
        <w:tc>
          <w:tcPr>
            <w:tcW w:type="dxa" w:w="5000"/>
            <w:tcMar>
              <w:top w:type="dxa" w:w="80"/>
              <w:left w:type="dxa" w:w="100"/>
              <w:bottom w:type="dxa" w:w="80"/>
              <w:right w:type="dxa" w:w="100"/>
            </w:tcMar>
            <w:vAlign w:val="center"/>
          </w:tcPr>
          <w:p>
            <w:r>
              <w:t>Backend, más participantes, evaluación por firmante y confianza/rechazo.</w:t>
            </w:r>
          </w:p>
        </w:tc>
      </w:tr>
    </w:tbl>
    <w:p>
      <w:pPr>
        <w:spacing w:after="260" w:before="80" w:line="360" w:lineRule="auto"/>
        <w:jc w:val="center"/>
      </w:pPr>
      <w:r>
        <w:rPr>
          <w:rFonts w:ascii="Times New Roman" w:cs="Times New Roman" w:eastAsia="Times New Roman" w:hAnsi="Times New Roman"/>
          <w:i/>
          <w:iCs/>
          <w:color w:val="666666"/>
          <w:sz w:val="18"/>
          <w:szCs w:val="18"/>
        </w:rPr>
        <w:t>El repositorio no conserva una única tabla de hiperparámetros válida para ambos experimentos. Cada corrida debe registrar su propia tarea, representación, clases, partición, semilla, dispositivo y checkpoint.</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extracción de características puede paralelizarse, pero el uso de una GPU o de varios núcleos no garantiza por sí mismo un buen resultado. La reproducibilidad requiere registrar el entorno, las versiones, los datos utilizados y los comandos exactos.</w:t>
      </w:r>
    </w:p>
    <w:p>
      <w:pPr>
        <w:spacing w:after="100" w:before="220" w:line="360" w:lineRule="auto"/>
        <w:jc w:val="left"/>
      </w:pPr>
      <w:r>
        <w:rPr>
          <w:rFonts w:ascii="Times New Roman" w:cs="Times New Roman" w:eastAsia="Times New Roman" w:hAnsi="Times New Roman"/>
          <w:b/>
          <w:bCs/>
          <w:sz w:val="24"/>
          <w:szCs w:val="24"/>
        </w:rPr>
        <w:t xml:space="preserve">6.9 Evaluación y exportación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Se midieron accuracy global, precisión, exhaustividad (recall) y F1-score por clase, además de una matriz de confusión para identificar qué señas se confunden entre sí con mayor frecuencia. El modelo final se convirtió de formato Keras (.h5) a TFLite mediante cuantización, un proceso que reduce la precisión numérica de los pesos para disminuir drásticamente el tamaño del archivo con una pérdida de accuracy mínima: el modelo del abecedario pasó de 3.8 MB a 45 KB, un factor de aproximadamente 84 veces, como ilustra la esta sección.</w:t>
      </w:r>
    </w:p>
    <w:p>
      <w:pPr>
        <w:spacing w:after="40" w:before="200"/>
        <w:jc w:val="center"/>
      </w:pPr>
      <w:r>
        <w:t>El modelo de palabras no alcanzó una condición de uso confiable. El reporte con 249 etiquetas obtuvo 0% de accuracy y 0% de F1 macro en prueba, por lo que debe considerarse un experimento insuficiente, no una traducción funcional. El checkpoint MSL-ABC tampoco cuenta aún con una evaluación final ni una ruta de inferencia conectada a la cámara.</w:t>
      </w:r>
    </w:p>
    <w:p>
      <w:pPr>
        <w:spacing w:after="100" w:before="220" w:line="360" w:lineRule="auto"/>
        <w:jc w:val="left"/>
      </w:pPr>
      <w:r>
        <w:rPr>
          <w:rFonts w:ascii="Times New Roman" w:cs="Times New Roman" w:eastAsia="Times New Roman" w:hAnsi="Times New Roman"/>
          <w:b/>
          <w:bCs/>
          <w:sz w:val="24"/>
          <w:szCs w:val="24"/>
        </w:rPr>
        <w:t xml:space="preserve">6.10 Alternativas de diseño consideradas y descartadas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no contiene una única arquitectura final para todas las tareas. La línea PyTorch vigente utiliza un TCN temporal; otras arquitecturas y el runtime TensorFlow/TFLite pertenecen a experimentos o integraciones heredadas. La comparación debe hacerse por tarea, representación y conjunto de 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500"/>
            <w:shd w:fill="1565C0" w:val="clear"/>
            <w:tcMar>
              <w:top w:type="dxa" w:w="80"/>
              <w:left w:type="dxa" w:w="100"/>
              <w:bottom w:type="dxa" w:w="80"/>
              <w:right w:type="dxa" w:w="100"/>
            </w:tcMar>
            <w:vAlign w:val="center"/>
          </w:tcPr>
          <w:p>
            <w:r>
              <w:t>Estrategia</w:t>
            </w:r>
          </w:p>
        </w:tc>
        <w:tc>
          <w:tcPr>
            <w:tcW w:type="dxa" w:w="3500"/>
            <w:shd w:fill="1565C0" w:val="clear"/>
            <w:tcMar>
              <w:top w:type="dxa" w:w="80"/>
              <w:left w:type="dxa" w:w="100"/>
              <w:bottom w:type="dxa" w:w="80"/>
              <w:right w:type="dxa" w:w="100"/>
            </w:tcMar>
            <w:vAlign w:val="center"/>
          </w:tcPr>
          <w:p>
            <w:r>
              <w:t>Qué ofrece</w:t>
            </w:r>
          </w:p>
        </w:tc>
        <w:tc>
          <w:tcPr>
            <w:tcW w:type="dxa" w:w="3500"/>
            <w:shd w:fill="1565C0" w:val="clear"/>
            <w:tcMar>
              <w:top w:type="dxa" w:w="80"/>
              <w:left w:type="dxa" w:w="100"/>
              <w:bottom w:type="dxa" w:w="80"/>
              <w:right w:type="dxa" w:w="100"/>
            </w:tcMar>
            <w:vAlign w:val="center"/>
          </w:tcPr>
          <w:p>
            <w:r>
              <w:t>Decisión actual</w:t>
            </w:r>
          </w:p>
        </w:tc>
      </w:tr>
      <w:tr>
        <w:tc>
          <w:tcPr>
            <w:tcW w:type="dxa" w:w="2500"/>
            <w:tcMar>
              <w:top w:type="dxa" w:w="80"/>
              <w:left w:type="dxa" w:w="100"/>
              <w:bottom w:type="dxa" w:w="80"/>
              <w:right w:type="dxa" w:w="100"/>
            </w:tcMar>
            <w:vAlign w:val="center"/>
          </w:tcPr>
          <w:p>
            <w:r>
              <w:t>Reconocimiento directo de palabras</w:t>
            </w:r>
          </w:p>
        </w:tc>
        <w:tc>
          <w:tcPr>
            <w:tcW w:type="dxa" w:w="3500"/>
            <w:tcMar>
              <w:top w:type="dxa" w:w="80"/>
              <w:left w:type="dxa" w:w="100"/>
              <w:bottom w:type="dxa" w:w="80"/>
              <w:right w:type="dxa" w:w="100"/>
            </w:tcMar>
            <w:vAlign w:val="center"/>
          </w:tcPr>
          <w:p>
            <w:r>
              <w:t>Puede cubrir vocabulario amplio si hay suficientes datos por clase</w:t>
            </w:r>
          </w:p>
        </w:tc>
        <w:tc>
          <w:tcPr>
            <w:tcW w:type="dxa" w:w="3500"/>
            <w:tcMar>
              <w:top w:type="dxa" w:w="80"/>
              <w:left w:type="dxa" w:w="100"/>
              <w:bottom w:type="dxa" w:w="80"/>
              <w:right w:type="dxa" w:w="100"/>
            </w:tcMar>
            <w:vAlign w:val="center"/>
          </w:tcPr>
          <w:p>
            <w:r>
              <w:t>El experimento disponible obtuvo 0% en prueba; requiere nuevos datos, backend y validación</w:t>
            </w:r>
          </w:p>
        </w:tc>
      </w:tr>
      <w:tr>
        <w:tc>
          <w:tcPr>
            <w:tcW w:type="dxa" w:w="2500"/>
            <w:tcMar>
              <w:top w:type="dxa" w:w="80"/>
              <w:left w:type="dxa" w:w="100"/>
              <w:bottom w:type="dxa" w:w="80"/>
              <w:right w:type="dxa" w:w="100"/>
            </w:tcMar>
            <w:vAlign w:val="center"/>
          </w:tcPr>
          <w:p>
            <w:r>
              <w:t>Abecedario LSM</w:t>
            </w:r>
          </w:p>
        </w:tc>
        <w:tc>
          <w:tcPr>
            <w:tcW w:type="dxa" w:w="3500"/>
            <w:tcMar>
              <w:top w:type="dxa" w:w="80"/>
              <w:left w:type="dxa" w:w="100"/>
              <w:bottom w:type="dxa" w:w="80"/>
              <w:right w:type="dxa" w:w="100"/>
            </w:tcMar>
            <w:vAlign w:val="center"/>
          </w:tcPr>
          <w:p>
            <w:r>
              <w:t>Permite construir palabras letra por letra</w:t>
            </w:r>
          </w:p>
        </w:tc>
        <w:tc>
          <w:tcPr>
            <w:tcW w:type="dxa" w:w="3500"/>
            <w:tcMar>
              <w:top w:type="dxa" w:w="80"/>
              <w:left w:type="dxa" w:w="100"/>
              <w:bottom w:type="dxa" w:w="80"/>
              <w:right w:type="dxa" w:w="100"/>
            </w:tcMar>
            <w:vAlign w:val="center"/>
          </w:tcPr>
          <w:p>
            <w:r>
              <w:t>Estrategia provisional; requiere un backend de letras validado antes de considerarse funcional</w:t>
            </w:r>
          </w:p>
        </w:tc>
      </w:tr>
      <w:tr>
        <w:tc>
          <w:tcPr>
            <w:tcW w:type="dxa" w:w="2500"/>
            <w:tcMar>
              <w:top w:type="dxa" w:w="80"/>
              <w:left w:type="dxa" w:w="100"/>
              <w:bottom w:type="dxa" w:w="80"/>
              <w:right w:type="dxa" w:w="100"/>
            </w:tcMar>
            <w:vAlign w:val="center"/>
          </w:tcPr>
          <w:p>
            <w:r>
              <w:t>Autocompletado</w:t>
            </w:r>
          </w:p>
        </w:tc>
        <w:tc>
          <w:tcPr>
            <w:tcW w:type="dxa" w:w="3500"/>
            <w:tcMar>
              <w:top w:type="dxa" w:w="80"/>
              <w:left w:type="dxa" w:w="100"/>
              <w:bottom w:type="dxa" w:w="80"/>
              <w:right w:type="dxa" w:w="100"/>
            </w:tcMar>
            <w:vAlign w:val="center"/>
          </w:tcPr>
          <w:p>
            <w:r>
              <w:t>Propone palabras a partir de letras o prefijos recibidos y un diccionario</w:t>
            </w:r>
          </w:p>
        </w:tc>
        <w:tc>
          <w:tcPr>
            <w:tcW w:type="dxa" w:w="3500"/>
            <w:tcMar>
              <w:top w:type="dxa" w:w="80"/>
              <w:left w:type="dxa" w:w="100"/>
              <w:bottom w:type="dxa" w:w="80"/>
              <w:right w:type="dxa" w:w="100"/>
            </w:tcMar>
            <w:vAlign w:val="center"/>
          </w:tcPr>
          <w:p>
            <w:r>
              <w:t>Ayuda de escritura local; no equivale a reconocimiento ni traducción confirmada</w:t>
            </w:r>
          </w:p>
        </w:tc>
      </w:tr>
    </w:tbl>
    <w:p>
      <w:pPr>
        <w:spacing w:after="260" w:before="80" w:line="360" w:lineRule="auto"/>
        <w:jc w:val="center"/>
      </w:pPr>
      <w:r>
        <w:rPr>
          <w:rFonts w:ascii="Times New Roman" w:cs="Times New Roman" w:eastAsia="Times New Roman" w:hAnsi="Times New Roman"/>
          <w:i/>
          <w:iCs/>
          <w:color w:val="666666"/>
          <w:sz w:val="18"/>
          <w:szCs w:val="18"/>
        </w:rPr>
        <w:t xml:space="preserve">Tabla 3. Comparación de los enfoques considerados para la clasificación de señas.</w:t>
      </w:r>
    </w:p>
    <w:p>
      <w:pPr>
        <w:spacing w:after="100" w:before="220" w:line="360" w:lineRule="auto"/>
        <w:jc w:val="left"/>
      </w:pPr>
      <w:r>
        <w:rPr>
          <w:rFonts w:ascii="Times New Roman" w:cs="Times New Roman" w:eastAsia="Times New Roman" w:hAnsi="Times New Roman"/>
          <w:b/>
          <w:bCs/>
          <w:sz w:val="24"/>
          <w:szCs w:val="24"/>
        </w:rPr>
        <w:t xml:space="preserve">6.11 Estructura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aplicación React vigente se encuentra en `app/`; la extracción y el runtime de visión están en `core/`; los modelos y entrenadores PyTorch están en `entrenador/`; los manifiestos están en `dataset/` y los análisis en `docs/`. Esta organización no implica que el backend de predicción ya exista.</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6.12 Cronología de desarrollo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proyecto se trabajó de forma continua desde el 26 de abril de 2026: las primeras semanas se dedicaron a la recolección de muestras del abecedario, seguidas de la extracción de keypoints y el diseño de features, y desde junio a los ciclos de entrenamiento, depuración de errores y ajuste de hiperparámetros descritos en las secciones anteriores. El trabajo sigue de forma continua más allá de la fecha de corte de este documento. La esta sección resume cómo se distribuyó el esfuerzo entre las distintas etapas del pipeline a lo largo de las semanas.</w:t>
      </w:r>
    </w:p>
    <w:p>
      <w:pPr>
        <w:spacing w:after="40" w:before="200"/>
        <w:jc w:val="center"/>
      </w:pPr>
      <w:r/>
    </w:p>
    <w:p>
      <w:pPr>
        <w:spacing w:after="120" w:before="280" w:line="360" w:lineRule="auto"/>
        <w:jc w:val="left"/>
      </w:pPr>
      <w:r>
        <w:rPr>
          <w:rFonts w:ascii="Times New Roman" w:cs="Times New Roman" w:eastAsia="Times New Roman" w:hAnsi="Times New Roman"/>
          <w:b/>
          <w:bCs/>
          <w:sz w:val="24"/>
          <w:szCs w:val="24"/>
        </w:rPr>
        <w:t xml:space="preserve">7. RESULTADOS</w:t>
      </w:r>
    </w:p>
    <w:p>
      <w:pPr>
        <w:spacing w:after="100" w:before="220" w:line="360" w:lineRule="auto"/>
        <w:jc w:val="left"/>
      </w:pPr>
      <w:r>
        <w:rPr>
          <w:rFonts w:ascii="Times New Roman" w:cs="Times New Roman" w:eastAsia="Times New Roman" w:hAnsi="Times New Roman"/>
          <w:b/>
          <w:bCs/>
          <w:sz w:val="24"/>
          <w:szCs w:val="24"/>
        </w:rPr>
        <w:t xml:space="preserve">7.1 Modelo de abecedario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conserva un reporte de un modelo de abecedario con 26 clases, 6,692 muestras de entrenamiento, 356 de validación y 356 de prueba. Ese reporte registra una precisión de prueba de 98.60%; debe conservarse como resultado de ese experimento específico y no generalizarse automáticamente a todos los conjuntos de datos.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No se incorporará esta cifra al resultado actual porque no coincide con el reporte experimental que sí está disponible en el repositorio. Las cifras de precisión deben tomarse del reporte que identifique claramente el conjunto, la partición y el modelo evaluado.</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del abecedario sugiere que una representación de puntos clave puede funcionar bien bajo determinadas condiciones. Aun así, será necesario repetir la evaluación con más participantes y separar correctamente a las personas entre entrenamiento y prueba antes de afirmar que el desempeño se mantiene en situaciones reales.</w:t>
      </w:r>
    </w:p>
    <w:p>
      <w:pPr>
        <w:spacing w:after="100" w:before="220" w:line="360" w:lineRule="auto"/>
        <w:jc w:val="left"/>
      </w:pPr>
      <w:r>
        <w:rPr>
          <w:rFonts w:ascii="Times New Roman" w:cs="Times New Roman" w:eastAsia="Times New Roman" w:hAnsi="Times New Roman"/>
          <w:b/>
          <w:bCs/>
          <w:sz w:val="24"/>
          <w:szCs w:val="24"/>
        </w:rPr>
        <w:t xml:space="preserve">7.2 Modelo de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de palabras documentado en el repositorio tuvo un resultado insuficiente: con 249 etiquetas, obtuvo 0% de accuracy y 0% de F1 macro en el conjunto de prueba de 393 muestras. Este resultado no debe ocultarse ni presentarse como una función terminada. Al contrario, permite identificar el problema principal del proyecto: la cobertura nominal de etiquetas es mucho mayor que la cantidad y diversidad de datos realmente útiles para aprenderlas.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fallido no permite concluir por sí solo que la arquitectura sea la causa ni que los datos sean la única causa. Sí muestra que la combinación actual de datos, etiquetas, representación y protocolo de evaluación no es suficiente; por ello se deben comparar esas variables de manera controlada.</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sí modifica la estrategia de desarrollo. Mientras se reúnen más participantes y conjuntos de datos de calidad, el sistema utilizará el abecedario LSM para producir letras y el autocompletado para proponer palabras. De esta manera se ofrece una función útil y comprobable sin afirmar que el reconocimiento directo de todo el vocabulario ya está resuelto. La meta de ampliar el vocabulario permanece vigente y se retomará con nuevas evaluaciones.</w:t>
      </w:r>
    </w:p>
    <w:p>
      <w:pPr>
        <w:spacing w:after="120" w:before="280" w:line="360" w:lineRule="auto"/>
        <w:jc w:val="left"/>
      </w:pPr>
      <w:r>
        <w:rPr>
          <w:rFonts w:ascii="Times New Roman" w:cs="Times New Roman" w:eastAsia="Times New Roman" w:hAnsi="Times New Roman"/>
          <w:b/>
          <w:bCs/>
          <w:sz w:val="24"/>
          <w:szCs w:val="24"/>
        </w:rPr>
        <w:t xml:space="preserve">8. CONCLUSIONES</w:t>
      </w:r>
    </w:p>
    <w:p>
      <w:pPr>
        <w:spacing w:after="100" w:before="220" w:line="360" w:lineRule="auto"/>
        <w:jc w:val="left"/>
      </w:pPr>
      <w:r>
        <w:rPr>
          <w:rFonts w:ascii="Times New Roman" w:cs="Times New Roman" w:eastAsia="Times New Roman" w:hAnsi="Times New Roman"/>
          <w:b/>
          <w:bCs/>
          <w:sz w:val="24"/>
          <w:szCs w:val="24"/>
        </w:rPr>
        <w:t>A diferencia de una demostración que presenta un modelo como terminado, este proyecto aporta una base experimental auditable: extracción de puntos, modelos temporales, manifiestos, una interfaz web y un autocompletado local. El reconocimiento directo de palabras y la inferencia de cámara todavía requieren integración y validación.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muestra que el reconocimiento del abecedario puede ser una base de trabajo cuando se cuenta con datos suficientes y una representación adecuada. Ese resultado pertenece a experimentos concretos y no demuestra que la interfaz actual reconozca señas sin un backend conectado.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muestra que el reconocimiento del abecedario puede ser una base viable cuando se cuenta con datos suficientes y una representación adecuada. Sin embargo, ese resultado pertenece a un experimento concreto y no debe generalizarse automáticamente a todo el sistema. La versión actual debe apoyarse en pruebas por participante, métricas completas y un mecanismo de rechazo para no presentar predicciones inciertas como traducciones seguras.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revisión del repositorio identificó varios puntos que deben corregirse antes de afirmar que el sistema está listo: existen datos de fuentes distintas, algunos manifiestos todavía están pendientes de extracción de características, hay modelos con contratos diferentes y la interfaz espera endpoints cuyo servidor no está versionado.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revisión del repositorio identificó varios puntos que deben corregirse antes de afirmar que el sistema está listo: existen datos de fuentes distintas, algunos manifiestos todavía están pendientes de extracción de características, hay resultados con 0% de desempeño y algunos reportes conservan rutas de computadoras anteriores. Estos elementos se consideran parte del diagnóstico y no deben ocultarse.</w:t>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retos pendientes son claros: reunir más participantes, aumentar la diversidad de muestras por clase, revisar las etiquetas, separar los conjuntos por persona y repetir las evaluaciones con métricas completas. Mientras eso ocurre, la combinación del abecedario LSM con el autocompletado permitirá construir palabras letra por letra y ofrecer sugerencias del diccionario como apoyo. Las sugerencias deberán mostrar un estado de confianza y una opción de rechazo para evitar presentar una palabra no validada como traducción segura.</w:t>
      </w:r>
    </w:p>
    <w:p>
      <w:pPr>
        <w:spacing w:after="100" w:before="220" w:line="360" w:lineRule="auto"/>
        <w:jc w:val="left"/>
      </w:pPr>
      <w:r>
        <w:rPr>
          <w:rFonts w:ascii="Times New Roman" w:cs="Times New Roman" w:eastAsia="Times New Roman" w:hAnsi="Times New Roman"/>
          <w:b/>
          <w:bCs/>
          <w:sz w:val="24"/>
          <w:szCs w:val="24"/>
        </w:rPr>
        <w:t>Alcance: el repositorio contiene una línea experimental de modelos temporales y una aplicación que puede capturar datos, exportarlos y preparar solicitudes. La cobertura final debe confirmarse con nuevas pruebas fuera del entorno controlado.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Alcance: el repositorio conserva manifiestos, scripts, modelos y reportes que permiten reconstruir parte del flujo de trabajo. La disponibilidad de estos archivos no significa que todos los datos estén listos ni que todos los modelos estén conectados a la interfaz.</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Alcance: el repositorio conserva manifiestos, scripts, modelos y reportes que permiten reconstruir parte del flujo de trabajo. La disponibilidad de estos archivos no significa que todos los datos estén listos ni que todos los modelos sean reproducibles sin preparar el entorno.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el reconocimiento directo de palabras no es confiable con la evidencia actual. El experimento de 249 etiquetas obtuvo 0% de accuracy y 0% de F1 macro en prueba, por lo que se reporta como resultado insuficiente.</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todavía no se cuenta con una evaluación suficiente con participantes sordos y hablantes de LSM que no formen parte del desarrollo.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la cobertura de la Ñ y de otras clases depende de que existan muestras suficientes, variadas y correctamente etiquetadas.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no se puede asumir que una precisión obtenida en un conjunto controlado se conserve con otras personas, cámaras, fondos e iluminación.</w:t>
      </w:r>
    </w:p>
    <w:p>
      <w:pPr>
        <w:spacing w:after="100" w:before="220" w:line="360" w:lineRule="auto"/>
        <w:jc w:val="left"/>
      </w:pPr>
      <w:r>
        <w:rPr>
          <w:rFonts w:ascii="Times New Roman" w:cs="Times New Roman" w:eastAsia="Times New Roman" w:hAnsi="Times New Roman"/>
          <w:b/>
          <w:bCs/>
          <w:sz w:val="24"/>
          <w:szCs w:val="24"/>
        </w:rPr>
        <w:t>Corto plazo: implementar el backend de predicción esperado por la interfaz, completar y evaluar el modelo seleccionado, y añadir confianza, estabilización y rechazo antes de mostrar una salida como texto.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Corto plazo: ampliar la recolección de datos para las clases con menos muestras y documentar participantes, licencias y separación por firmante.</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Mediano plazo: evaluar el modelo de vocabulario con usuarios sordos y hablantes de LSM que no formen parte del desarrollo, midiendo experiencia de uso además de accuracy.</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Mediano plazo: probar el sistema en condiciones variables de iluminación, calidad de cámara y dispositivo, fuera del entorno controlado de recolección.</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Largo plazo: valorar integraciones con plataformas de videollamada y mensajería únicamente después de estabilizar el backend, el modelo y la política de confianza.</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Largo plazo: iniciar la integración con Google Meet, Microsoft Teams y Zoom, antes de escalar hacia WhatsApp, Instagram y Facebook.</w:t>
      </w:r>
    </w:p>
    <w:p>
      <w:pPr>
        <w:spacing w:after="120" w:before="280" w:line="360" w:lineRule="auto"/>
        <w:jc w:val="left"/>
      </w:pPr>
      <w:r>
        <w:rPr>
          <w:rFonts w:ascii="Times New Roman" w:cs="Times New Roman" w:eastAsia="Times New Roman" w:hAnsi="Times New Roman"/>
          <w:b/>
          <w:bCs/>
          <w:sz w:val="24"/>
          <w:szCs w:val="24"/>
        </w:rPr>
        <w:t xml:space="preserve">9. GLOSARIO TÉCNICO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siguientes términos técnicos se usan a lo largo de este documento; se listan aquí en orden temático para facilitar la lectura a quienes no estén familiarizados con aprendizaje automático.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Término</w:t>
            </w:r>
          </w:p>
        </w:tc>
        <w:tc>
          <w:tcPr>
            <w:tcW w:type="dxa" w:w="73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Definición</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Keypoint</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Punto clave con coordenadas (x, y, z) que representa una articulación o referencia anatómica detectada por MediaPipe.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Conv1D</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Capa convolucional que opera sobre una dimensión (el tiempo), detectando patrones locales entre cuadros cercanos de una secuencia.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BiLSTM</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 recurrente (LSTM) que procesa una secuencia en ambas direcciones, integrando el contexto temporal completo antes y después de cada punto.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Softmax</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que convierte las salidas de la red en probabilidades que suman 1, una por cada clase posible.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Accuracy</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Porcentaje de predicciones correctas sobre el total de muestras evaluadas.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Overfitting</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Cuando un modelo memoriza el conjunto de entrenamiento en vez de aprender patrones generales, y su desempeño cae en datos nuevos.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Augmentación de datos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Generación de variantes artificiales de una muestra (rotación, escalado, ruido) para ampliar el dataset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TFLite</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Formato de TensorFlow optimizado para ejecutar modelos en dispositivos con recursos limitados (móviles, embebidos).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Cuantización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Técnica que reduce la precisión numérica de los pesos de un modelo para disminuir su tamaño en disco y memoria.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Focal Loss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 que reduce el peso de los ejemplos fáciles y concentra el aprendizaje en los ejemplos difíciles o poco frecuentes.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 (epoch)</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Una pasada completa del algoritmo de entrenamiento sobre todo el conjunto de datos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Matriz de confusión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Tabla que cruza las clases reales contra las clases predichas, mostrando en qué se equivoca el modelo con más frecuencia.</w:t>
            </w:r>
          </w:p>
        </w:tc>
      </w:tr>
    </w:tbl>
    <w:p>
      <w:pPr>
        <w:spacing w:after="120" w:before="280" w:line="360" w:lineRule="auto"/>
        <w:jc w:val="left"/>
      </w:pPr>
      <w:r>
        <w:rPr>
          <w:rFonts w:ascii="Times New Roman" w:cs="Times New Roman" w:eastAsia="Times New Roman" w:hAnsi="Times New Roman"/>
          <w:b/>
          <w:bCs/>
          <w:sz w:val="24"/>
          <w:szCs w:val="24"/>
        </w:rPr>
        <w:t xml:space="preserve">10. REFERENCIAS</w:t>
      </w:r>
    </w:p>
    <w:p>
      <w:pPr>
        <w:spacing w:after="140" w:before="0" w:line="360" w:lineRule="auto"/>
        <w:ind w:left="360" w:hanging="360"/>
        <w:jc w:val="both"/>
      </w:pPr>
      <w:r>
        <w:rPr>
          <w:rFonts w:ascii="Times New Roman" w:cs="Times New Roman" w:eastAsia="Times New Roman" w:hAnsi="Times New Roman"/>
          <w:sz w:val="24"/>
          <w:szCs w:val="24"/>
        </w:rPr>
        <w:t xml:space="preserve">[1] Instituto Nacional de Estadística y Geografía (INEGI). (2020). Censo de Población y Vivienda 2020. Discapacidad. https://www.inegi.org.mx/temas/discapacidad/</w:t>
      </w:r>
    </w:p>
    <w:p>
      <w:pPr>
        <w:spacing w:after="140" w:before="0" w:line="360" w:lineRule="auto"/>
        <w:ind w:left="360" w:hanging="360"/>
        <w:jc w:val="both"/>
      </w:pPr>
      <w:r>
        <w:rPr>
          <w:rFonts w:ascii="Times New Roman" w:cs="Times New Roman" w:eastAsia="Times New Roman" w:hAnsi="Times New Roman"/>
          <w:sz w:val="24"/>
          <w:szCs w:val="24"/>
        </w:rPr>
        <w:t xml:space="preserve">[2] Instituto Nacional de Estadística y Geografía (INEGI). (2021). Prevalencia de la población con discapacidad y/o problema o condición mental. Comunicado de prensa 713/21. https://www.inegi.org.mx/contenidos/saladeprensa/aproposito/2021/EAP_PersDiscap21.pdf</w:t>
      </w:r>
    </w:p>
    <w:p>
      <w:pPr>
        <w:spacing w:after="140" w:before="0" w:line="360" w:lineRule="auto"/>
        <w:ind w:left="360" w:hanging="360"/>
        <w:jc w:val="both"/>
      </w:pPr>
      <w:r>
        <w:rPr>
          <w:rFonts w:ascii="Times New Roman" w:cs="Times New Roman" w:eastAsia="Times New Roman" w:hAnsi="Times New Roman"/>
          <w:sz w:val="24"/>
          <w:szCs w:val="24"/>
        </w:rPr>
        <w:t xml:space="preserve">[3] Lugares, C. et al. (2024). Sign language images dataset from Mexican sign language. Data in Brief, 54. https://doi.org/10.1016/j.dib.2024.110533</w:t>
      </w:r>
    </w:p>
    <w:p>
      <w:pPr>
        <w:spacing w:after="140" w:before="0" w:line="360" w:lineRule="auto"/>
        <w:ind w:left="360" w:hanging="360"/>
        <w:jc w:val="both"/>
      </w:pPr>
      <w:r>
        <w:rPr>
          <w:rFonts w:ascii="Times New Roman" w:cs="Times New Roman" w:eastAsia="Times New Roman" w:hAnsi="Times New Roman"/>
          <w:sz w:val="24"/>
          <w:szCs w:val="24"/>
        </w:rPr>
        <w:t xml:space="preserve">[4] Google AI. (2024). MediaPipe Hand Landmarker. https://google.github.io/mediapipe/solutions/hands.html</w:t>
      </w:r>
    </w:p>
    <w:p>
      <w:pPr>
        <w:spacing w:after="140" w:before="0" w:line="360" w:lineRule="auto"/>
        <w:ind w:left="360" w:hanging="360"/>
        <w:jc w:val="both"/>
      </w:pPr>
      <w:r>
        <w:rPr>
          <w:rFonts w:ascii="Times New Roman" w:cs="Times New Roman" w:eastAsia="Times New Roman" w:hAnsi="Times New Roman"/>
          <w:sz w:val="24"/>
          <w:szCs w:val="24"/>
        </w:rPr>
        <w:t xml:space="preserve">[5] Abecerril, A. et al. (2024). MSL-150 Dataset: Mexican Sign Language with Keypoints. GitHub. https://github.com/armandobecerril/MSL-150-Dataset</w:t>
      </w:r>
    </w:p>
    <w:p>
      <w:pPr>
        <w:spacing w:after="140" w:before="0" w:line="360" w:lineRule="auto"/>
        <w:ind w:left="360" w:hanging="360"/>
        <w:jc w:val="both"/>
      </w:pPr>
      <w:r>
        <w:rPr>
          <w:rFonts w:ascii="Times New Roman" w:cs="Times New Roman" w:eastAsia="Times New Roman" w:hAnsi="Times New Roman"/>
          <w:sz w:val="24"/>
          <w:szCs w:val="24"/>
        </w:rPr>
        <w:t xml:space="preserve">[6] Zhang, X. et al. (2020). HandAugment: A Simple Data Augmentation Method for 3D Hand Pose Estimation. arXiv:2003.10544.</w:t>
      </w:r>
    </w:p>
    <w:p>
      <w:pPr>
        <w:spacing w:after="140" w:before="0" w:line="360" w:lineRule="auto"/>
        <w:ind w:left="360" w:hanging="360"/>
        <w:jc w:val="both"/>
      </w:pPr>
      <w:r>
        <w:rPr>
          <w:rFonts w:ascii="Times New Roman" w:cs="Times New Roman" w:eastAsia="Times New Roman" w:hAnsi="Times New Roman"/>
          <w:sz w:val="24"/>
          <w:szCs w:val="24"/>
        </w:rPr>
        <w:t xml:space="preserve">[7] Chollet, F. (2021). Deep Learning with Python (2nd ed.). Manning Publications.</w:t>
      </w:r>
    </w:p>
    <w:p>
      <w:pPr>
        <w:spacing w:after="140" w:before="0" w:line="360" w:lineRule="auto"/>
        <w:ind w:left="360" w:hanging="360"/>
        <w:jc w:val="both"/>
      </w:pPr>
      <w:r>
        <w:rPr>
          <w:rFonts w:ascii="Times New Roman" w:cs="Times New Roman" w:eastAsia="Times New Roman" w:hAnsi="Times New Roman"/>
          <w:sz w:val="24"/>
          <w:szCs w:val="24"/>
        </w:rPr>
        <w:t xml:space="preserve">[8] UNESCO. (2023). Global Education Monitoring Report: Technology in Education. https://www.unesco.org/gem-report</w:t>
      </w:r>
    </w:p>
    <w:p>
      <w:pPr>
        <w:spacing w:after="140" w:before="0" w:line="360" w:lineRule="auto"/>
        <w:ind w:left="360" w:hanging="360"/>
        <w:jc w:val="both"/>
      </w:pPr>
      <w:r>
        <w:rPr>
          <w:rFonts w:ascii="Times New Roman" w:cs="Times New Roman" w:eastAsia="Times New Roman" w:hAnsi="Times New Roman"/>
          <w:sz w:val="24"/>
          <w:szCs w:val="24"/>
        </w:rPr>
        <w:t xml:space="preserve">[9] López Nava, I.H. et al. (2024). Daktilos: Plataforma de aprendizaje de LSM con visión por computadora. CICESE, Ensenada.</w:t>
      </w:r>
    </w:p>
    <w:p>
      <w:pPr>
        <w:spacing w:after="140" w:before="0" w:line="360" w:lineRule="auto"/>
        <w:ind w:left="360" w:hanging="360"/>
        <w:jc w:val="both"/>
      </w:pPr>
      <w:r>
        <w:rPr>
          <w:rFonts w:ascii="Times New Roman" w:cs="Times New Roman" w:eastAsia="Times New Roman" w:hAnsi="Times New Roman"/>
          <w:sz w:val="24"/>
          <w:szCs w:val="24"/>
        </w:rPr>
        <w:t xml:space="preserve">[10] Martínez, R. et al. (2024). Reconocimiento de la Lengua de Señas Mexicana usando Deep Learning. Ciencia Latina, 8(4), 14458.</w:t>
      </w:r>
    </w:p>
    <w:p>
      <w:pPr>
        <w:spacing w:after="140" w:before="0" w:line="360" w:lineRule="auto"/>
        <w:ind w:left="360" w:hanging="360"/>
        <w:jc w:val="both"/>
      </w:pPr>
      <w:r>
        <w:rPr>
          <w:rFonts w:ascii="Times New Roman" w:cs="Times New Roman" w:eastAsia="Times New Roman" w:hAnsi="Times New Roman"/>
          <w:sz w:val="24"/>
          <w:szCs w:val="24"/>
        </w:rPr>
        <w:t xml:space="preserve">[11] RIDE Revista. (2025). Aplicación Móvil Basada en Deep Learning para la Inclusión Educativa de Personas Sordas. RIDE, 15(29).</w:t>
      </w:r>
    </w:p>
    <w:p>
      <w:pPr>
        <w:spacing w:after="140" w:before="0" w:line="360" w:lineRule="auto"/>
        <w:ind w:left="360" w:hanging="360"/>
        <w:jc w:val="both"/>
      </w:pPr>
      <w:r>
        <w:rPr>
          <w:rFonts w:ascii="Times New Roman" w:cs="Times New Roman" w:eastAsia="Times New Roman" w:hAnsi="Times New Roman"/>
          <w:sz w:val="24"/>
          <w:szCs w:val="24"/>
        </w:rPr>
        <w:t xml:space="preserve">[12] EnSeñas AI. (2026). The Neural Translation Engine. https://ensenas.ai/</w:t>
      </w:r>
    </w:p>
    <w:p>
      <w:pPr>
        <w:spacing w:after="140" w:before="0" w:line="360" w:lineRule="auto"/>
        <w:ind w:left="360" w:hanging="360"/>
        <w:jc w:val="both"/>
      </w:pPr>
      <w:r>
        <w:rPr>
          <w:rFonts w:ascii="Times New Roman" w:cs="Times New Roman" w:eastAsia="Times New Roman" w:hAnsi="Times New Roman"/>
          <w:sz w:val="24"/>
          <w:szCs w:val="24"/>
        </w:rPr>
        <w:t xml:space="preserve">[13] IMON. (2024). Desafíos de las personas sordas. Excélsior. https://www.excelsior.com.mx/nacional/inclusion-personas-sordas/1676008</w:t>
      </w:r>
    </w:p>
    <w:p>
      <w:pPr>
        <w:spacing w:after="140" w:before="0" w:line="360" w:lineRule="auto"/>
        <w:ind w:left="360" w:hanging="360"/>
        <w:jc w:val="both"/>
      </w:pPr>
      <w:r>
        <w:rPr>
          <w:rFonts w:ascii="Times New Roman" w:cs="Times New Roman" w:eastAsia="Times New Roman" w:hAnsi="Times New Roman"/>
          <w:sz w:val="24"/>
          <w:szCs w:val="24"/>
        </w:rPr>
        <w:t xml:space="preserve">[14] INEGI. (2022). Encuesta Nacional sobre Discriminación (ENADIS) 2022. https://www.inegi.org.mx/programas/enadis/2022/</w:t>
      </w:r>
    </w:p>
    <w:p>
      <w:pPr>
        <w:spacing w:after="140" w:before="0" w:line="360" w:lineRule="auto"/>
        <w:ind w:left="360" w:hanging="360"/>
        <w:jc w:val="both"/>
      </w:pPr>
      <w:r>
        <w:rPr>
          <w:rFonts w:ascii="Times New Roman" w:cs="Times New Roman" w:eastAsia="Times New Roman" w:hAnsi="Times New Roman"/>
          <w:sz w:val="24"/>
          <w:szCs w:val="24"/>
        </w:rPr>
        <w:t xml:space="preserve">[15] Caballero Hernández, X. (2025). Desarrollo de Software dedicado a la traducción de la Lengua Mexicana de Señas mediante Deep Learning y Machine Learning. PAAKAT: Revista de Tecnología y Sociedad. https://paakat.cugdl.udg.mx/index.php/paakat/article/view/897</w:t>
      </w:r>
    </w:p>
    <w:p>
      <w:pPr>
        <w:spacing w:after="140" w:before="0" w:line="360" w:lineRule="auto"/>
        <w:ind w:left="360" w:hanging="360"/>
        <w:jc w:val="both"/>
      </w:pPr>
      <w:r>
        <w:rPr>
          <w:rFonts w:ascii="Times New Roman" w:cs="Times New Roman" w:eastAsia="Times New Roman" w:hAnsi="Times New Roman"/>
          <w:sz w:val="24"/>
          <w:szCs w:val="24"/>
        </w:rPr>
        <w:t xml:space="preserve">[16] Lugares, I., et al. (2025). Mexican Sign Language Recognition Dataset. MDPI Electronics, 14(7), 1423. https://www.mdpi.com/2079-9292/14/7/1423</w:t>
      </w:r>
    </w:p>
    <w:p>
      <w:pPr>
        <w:spacing w:after="140" w:before="0" w:line="360" w:lineRule="auto"/>
        <w:ind w:left="360" w:hanging="360"/>
        <w:jc w:val="both"/>
      </w:pPr>
      <w:r>
        <w:rPr>
          <w:rFonts w:ascii="Times New Roman" w:cs="Times New Roman" w:eastAsia="Times New Roman" w:hAnsi="Times New Roman"/>
          <w:sz w:val="24"/>
          <w:szCs w:val="24"/>
        </w:rPr>
        <w:t xml:space="preserve">[17] ADN40. (2024). Guante traductor de Lengua de Señas Mexicana del IPN gana premio James Dyson Award México. https://www.adn40.mx/ciencia/2024-10-31/ipn-guante-traductor-lengua-senas-mexicana-gana-premio-internacional/</w:t>
      </w:r>
    </w:p>
    <w:p>
      <w:pPr>
        <w:spacing w:after="140" w:before="0" w:line="360" w:lineRule="auto"/>
        <w:ind w:left="360" w:hanging="360"/>
        <w:jc w:val="both"/>
      </w:pPr>
      <w:r>
        <w:rPr>
          <w:rFonts w:ascii="Times New Roman" w:cs="Times New Roman" w:eastAsia="Times New Roman" w:hAnsi="Times New Roman"/>
          <w:sz w:val="24"/>
          <w:szCs w:val="24"/>
        </w:rPr>
        <w:t xml:space="preserve">[18] Grand View Research. (2024). Digital Accessibility Software Market Size &amp; Share Report, 2024–2030. https://www.grandviewresearch.com/industry-analysis/digital-accessibility-software-market-report</w:t>
      </w:r>
    </w:p>
    <w:p>
      <w:pPr>
        <w:spacing w:after="140" w:before="0" w:line="360" w:lineRule="auto"/>
        <w:ind w:left="360" w:hanging="360"/>
        <w:jc w:val="both"/>
      </w:pPr>
      <w:r>
        <w:rPr>
          <w:rFonts w:ascii="Times New Roman" w:cs="Times New Roman" w:eastAsia="Times New Roman" w:hAnsi="Times New Roman"/>
          <w:sz w:val="24"/>
          <w:szCs w:val="24"/>
        </w:rPr>
        <w:t xml:space="preserve">[19] La Jornada. (2024, diciembre 3). Daktilos y Sordbo, herramientas del CICESE para la comunidad sorda. https://www.jornada.com.mx/2024/12/03/ciencias/a06n1cie</w:t>
      </w:r>
    </w:p>
    <w:p>
      <w:pPr>
        <w:spacing w:after="140" w:before="0" w:line="360" w:lineRule="auto"/>
        <w:ind w:left="360" w:hanging="360"/>
        <w:jc w:val="both"/>
      </w:pPr>
      <w:r>
        <w:rPr>
          <w:rFonts w:ascii="Times New Roman" w:cs="Times New Roman" w:eastAsia="Times New Roman" w:hAnsi="Times New Roman"/>
          <w:sz w:val="24"/>
          <w:szCs w:val="24"/>
        </w:rPr>
        <w:t xml:space="preserve">[20] Dilo con Señas. (2024). Aplicación para aprender Lengua de Señas Mexicana. Asociación Civil, Monterrey. https://nacersordo.com/en/apps/</w:t>
      </w:r>
    </w:p>
    <w:p>
      <w:pPr>
        <w:spacing w:after="140" w:before="0" w:line="360" w:lineRule="auto"/>
        <w:ind w:left="360" w:hanging="360"/>
        <w:jc w:val="both"/>
      </w:pPr>
      <w:r>
        <w:rPr>
          <w:rFonts w:ascii="Times New Roman" w:cs="Times New Roman" w:eastAsia="Times New Roman" w:hAnsi="Times New Roman"/>
          <w:sz w:val="24"/>
          <w:szCs w:val="24"/>
        </w:rPr>
        <w:t xml:space="preserve">[21] Instituto Nacional de Estadística y Geografía (INEGI) y Consejo Nacional de Población (CONAPO). (2014). Encuesta Nacional de la Dinámica Demográfica (ENADID) 2014.</w:t>
      </w:r>
    </w:p>
    <w:p>
      <w:pPr>
        <w:spacing w:after="120" w:before="280" w:line="360" w:lineRule="auto"/>
        <w:jc w:val="left"/>
      </w:pPr>
      <w:r>
        <w:rPr>
          <w:rFonts w:ascii="Times New Roman" w:cs="Times New Roman" w:eastAsia="Times New Roman" w:hAnsi="Times New Roman"/>
          <w:b/>
          <w:bCs/>
          <w:sz w:val="24"/>
          <w:szCs w:val="24"/>
        </w:rPr>
        <w:t xml:space="preserve">11. PENDIENTES ANTES DE LA VERSIÓN FINAL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Esta sección concentra los elementos que todavía requieren información o material del equipo antes de que el documento esté listo para entrega. Se listan aquí, en un solo lugar, para facilitar el seguimiento.</w:t>
      </w:r>
    </w:p>
    <w:p>
      <w:pPr>
        <w:spacing w:after="100" w:before="220" w:line="360" w:lineRule="auto"/>
        <w:jc w:val="left"/>
      </w:pPr>
      <w:r>
        <w:rPr>
          <w:rFonts w:ascii="Times New Roman" w:cs="Times New Roman" w:eastAsia="Times New Roman" w:hAnsi="Times New Roman"/>
          <w:b/>
          <w:bCs/>
          <w:sz w:val="24"/>
          <w:szCs w:val="24"/>
        </w:rPr>
        <w:t xml:space="preserve">Datos por confirmar</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Confirmar los datos administrativos de la convocatoria y completar los marcadores de la portada sin introducir información no verificada.</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Documentar el estado real de la letra Ñ en los manifiestos y no asumir que una etiqueta nominal equivale a muestras utilizables.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Confirmar con la convocatoria la categoría oficial, conservando el formato y los datos administrativos que entregue el equipo.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Registrar el tiempo de entrenamiento, el dispositivo y la versión exacta del entorno para cada corrida reproducible.</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Identificar con el manifiesto las letras que necesitan más datos; no incluir una lista específica hasta verificarla.</w:t>
      </w:r>
    </w:p>
    <w:p>
      <w:pPr>
        <w:spacing w:after="100" w:before="220" w:line="360" w:lineRule="auto"/>
        <w:jc w:val="left"/>
      </w:pPr>
      <w:r>
        <w:rPr>
          <w:rFonts w:ascii="Times New Roman" w:cs="Times New Roman" w:eastAsia="Times New Roman" w:hAnsi="Times New Roman"/>
          <w:b/>
          <w:bCs/>
          <w:sz w:val="24"/>
          <w:szCs w:val="24"/>
        </w:rPr>
        <w:t xml:space="preserve">Documentación de cumplimiento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Conservar la documentación de consentimiento informado y licencias de las personas fotografiadas o grabadas antes de presentar el dataset.</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Confirmar si la convocatoria exige una sección de presupuesto antes de cerrar la versión de entrega.</w:t>
      </w:r>
    </w:p>
    <w:sectPr>
      <w:headerReference w:type="default" r:id="rId36"/>
      <w:footerReference w:type="default" r:id="rId37"/>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5" Type="http://schemas.openxmlformats.org/officeDocument/2006/relationships/fontTable" Target="fontTable.xml"/><Relationship Id="rId36" Type="http://schemas.openxmlformats.org/officeDocument/2006/relationships/header" Target="header1.xml"/><Relationship Id="rId3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2026-07-29T01:51:13.929Z</dcterms:created>
  <dcterms:modified xsi:type="dcterms:W3CDTF">2026-07-29T01:51:13.943Z</dcterms:modified>
</cp:coreProperties>
</file>

<file path=docProps/custom.xml><?xml version="1.0" encoding="utf-8"?>
<Properties xmlns="http://schemas.openxmlformats.org/officeDocument/2006/custom-properties" xmlns:vt="http://schemas.openxmlformats.org/officeDocument/2006/docPropsVTypes"/>
</file>