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8"/>
        </w:rPr>
        <w:t>FERIA MEXICANA DE CIENCIAS E INGENIERÍAS</w:t>
      </w:r>
    </w:p>
    <w:p>
      <w:pPr>
        <w:jc w:val="center"/>
      </w:pPr>
      <w:r>
        <w:rPr>
          <w:rFonts w:ascii="Arial" w:hAnsi="Arial"/>
          <w:b/>
          <w:color w:val="1F4E79"/>
          <w:sz w:val="36"/>
        </w:rPr>
        <w:t>Reconocimiento del Lenguaje de Señas Mexicano mediante Inteligencia Artificial</w:t>
      </w:r>
    </w:p>
    <w:p>
      <w:pPr>
        <w:spacing w:after="40"/>
        <w:jc w:val="center"/>
      </w:pPr>
      <w:r>
        <w:t>NÚMERO DE FIPI: COA-SI-XXXX</w:t>
      </w:r>
    </w:p>
    <w:p>
      <w:pPr>
        <w:spacing w:after="40"/>
        <w:jc w:val="center"/>
      </w:pPr>
      <w:r>
        <w:t>Tipo de proyecto: Tecnológico</w:t>
      </w:r>
    </w:p>
    <w:p>
      <w:pPr>
        <w:spacing w:after="40"/>
        <w:jc w:val="center"/>
      </w:pPr>
      <w:r>
        <w:t>Nivel educativo: Educación media superior (preparatoria)</w:t>
      </w:r>
    </w:p>
    <w:p>
      <w:pPr>
        <w:spacing w:after="40"/>
        <w:jc w:val="center"/>
      </w:pPr>
      <w:r>
        <w:t>Categoría: Sistemas informáticos</w:t>
      </w:r>
    </w:p>
    <w:p>
      <w:pPr>
        <w:spacing w:after="40"/>
        <w:jc w:val="center"/>
      </w:pPr>
      <w:r>
        <w:t>Institución: CECyTEC Sol de Oriente</w:t>
      </w:r>
    </w:p>
    <w:p>
      <w:pPr>
        <w:spacing w:after="40"/>
        <w:jc w:val="center"/>
      </w:pPr>
      <w:r>
        <w:t>Nombre de los participantes: [Completar]</w:t>
      </w:r>
    </w:p>
    <w:p>
      <w:pPr>
        <w:spacing w:after="40"/>
        <w:jc w:val="center"/>
      </w:pPr>
      <w:r>
        <w:t>Nombre del asesor: [Completar]</w:t>
      </w:r>
    </w:p>
    <w:p>
      <w:pPr>
        <w:spacing w:after="40"/>
        <w:jc w:val="center"/>
      </w:pPr>
      <w:r>
        <w:t>Versión técnica revisada: 3 de septiembre de 2026</w:t>
      </w:r>
    </w:p>
    <w:p>
      <w:r>
        <w:br w:type="page"/>
      </w:r>
    </w:p>
    <w:p>
      <w:pPr>
        <w:pStyle w:val="Heading1"/>
        <w:spacing w:before="200" w:after="80"/>
      </w:pPr>
      <w:r>
        <w:t>Resumen</w:t>
      </w:r>
    </w:p>
    <w:p>
      <w:pPr>
        <w:spacing w:after="120" w:line="259" w:lineRule="auto"/>
      </w:pPr>
      <w:r>
        <w:t>Este documento describe el estado comprobable del repositorio programa-de-senas al 3 de septiembre de 2026. La solución vigente tiene una interfaz web en React y Vite que puede abrir la cámara, capturar imágenes y construir texto a partir de letras que lleguen desde un servicio de predicción. También incorpora un autocompletado local: recibe un prefijo, consulta un diccionario y dibuja una sugerencia fantasma. Esa sugerencia es una ayuda de escritura; no es reconocimiento de una palabra ni una traducción confirmada.</w:t>
      </w:r>
    </w:p>
    <w:p>
      <w:pPr>
        <w:spacing w:after="120" w:line="259" w:lineRule="auto"/>
      </w:pPr>
      <w:r>
        <w:t>La investigación de modelos se encuentra separada de la interfaz. El repositorio contiene un TCN en PyTorch con contrato de entrada temporal y un checkpoint MSL-ABC cuyo entrenamiento fue interrumpido durante la primera época. También conserva un experimento independiente de 249 etiquetas que obtuvo 0% de accuracy y 0% de macro-F1 en prueba. Ninguno de esos checkpoints está conectado a un backend vigente dentro de este repositorio. Por esa razón, el estado actual debe describirse como un prototipo de interfaz con autocompletado y una línea experimental de reconocimiento, no como un traductor terminado.</w:t>
      </w:r>
    </w:p>
    <w:p>
      <w:pPr>
        <w:spacing w:after="120" w:line="259" w:lineRule="auto"/>
      </w:pPr>
      <w:r>
        <w:t>La meta no se cancela. Se reorganiza en etapas verificables: completar el entrenamiento del modelo vigente, evaluar por firmante, implementar el servicio de inferencia que la interfaz espera y añadir una política de confianza y rechazo. Solo después de esas etapas será posible afirmar que la aplicación traduce señas de manera confiable.</w:t>
      </w:r>
    </w:p>
    <w:p>
      <w:pPr>
        <w:pStyle w:val="Heading1"/>
        <w:spacing w:before="200" w:after="80"/>
      </w:pPr>
      <w:r>
        <w:t>1. Introducción</w:t>
      </w:r>
    </w:p>
    <w:p>
      <w:pPr>
        <w:spacing w:after="120" w:line="259" w:lineRule="auto"/>
      </w:pPr>
      <w:r>
        <w:t>El Lenguaje de Señas Mexicano tiene una estructura lingüística propia y no puede tratarse como una sustitución directa del español palabra por palabra. En una conversación cotidiana, la falta de una persona que conozca LSM puede convertir una consulta, una clase o un trámite en una interacción lenta y dependiente de la escritura. Este proyecto busca aportar una herramienta tecnológica de apoyo, no reemplazar a intérpretes ni afirmar que un clasificador experimental resuelve por sí solo la accesibilidad.</w:t>
      </w:r>
    </w:p>
    <w:p>
      <w:pPr>
        <w:spacing w:after="120" w:line="259" w:lineRule="auto"/>
      </w:pPr>
      <w:r>
        <w:t>La pregunta de ingeniería es más concreta: ¿se puede construir un flujo reproducible que convierta una entrada de cámara en una representación de puntos, evalúe un modelo de señas y entregue una salida que el usuario pueda aceptar o rechazar? El repositorio ya contiene piezas de ese flujo, pero todavía no todas están unidas. La revisión de esta versión distingue lo que existe como código, lo que existe como experimento y lo que sigue pendiente.</w:t>
      </w:r>
    </w:p>
    <w:p>
      <w:pPr>
        <w:pStyle w:val="Heading1"/>
        <w:spacing w:before="200" w:after="80"/>
      </w:pPr>
      <w:r>
        <w:t>2. Problema, hipótesis y alcance</w:t>
      </w:r>
    </w:p>
    <w:p>
      <w:pPr>
        <w:spacing w:after="120" w:line="259" w:lineRule="auto"/>
      </w:pPr>
      <w:r>
        <w:t>El problema técnico no es solamente reconocer una forma de la mano. También hay que conservar la identidad del firmante, separar correctamente los datos, evitar que una predicción incierta se muestre como una palabra segura y conectar el modelo con una aplicación que tenga un comportamiento claro cuando el servicio no está disponible.</w:t>
      </w:r>
    </w:p>
    <w:p>
      <w:pPr>
        <w:spacing w:after="120" w:line="259" w:lineRule="auto"/>
      </w:pPr>
      <w:r>
        <w:t>La hipótesis de trabajo es que una representación compacta de puntos de la mano y una arquitectura temporal pueden servir como base para reconocer señas si se cuenta con datos suficientes, separación por participantes y evaluación reproducible. Mientras el vocabulario directo siga sin validarse, el autocompletado puede apoyar el deletreo letra por letra, siempre presentado como sugerencia.</w:t>
      </w:r>
    </w:p>
    <w:p>
      <w:pPr>
        <w:spacing w:after="120" w:line="259" w:lineRule="auto"/>
      </w:pPr>
      <w:r>
        <w:t>El alcance de esta revisión se limita al código y los artefactos presentes en el repositorio. No se infiere que un archivo descargado en otro equipo, una ruta mencionada en un README o un mensaje de commit sea una función disponible si no existe una ruta ejecutable que la conecte con la aplicación.</w:t>
      </w:r>
    </w:p>
    <w:p>
      <w:pPr>
        <w:pStyle w:val="Heading1"/>
        <w:spacing w:before="200" w:after="80"/>
      </w:pPr>
      <w:r>
        <w:t>3. Estado real del sistema</w:t>
      </w:r>
    </w:p>
    <w:p>
      <w:pPr>
        <w:spacing w:after="120" w:line="259" w:lineRule="auto"/>
      </w:pPr>
      <w:r>
        <w:t>La siguiente tabla resume la relación entre los componentes que sí están presentes y las afirmaciones que pueden hacerse sobre ellos.</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D9EAF7"/>
          </w:tcPr>
          <w:p>
            <w:pPr>
              <w:spacing w:after="0"/>
            </w:pPr>
            <w:r/>
            <w:r>
              <w:rPr>
                <w:rFonts w:ascii="Arial" w:hAnsi="Arial"/>
                <w:b/>
                <w:sz w:val="18"/>
              </w:rPr>
              <w:t>Componente</w:t>
            </w:r>
          </w:p>
        </w:tc>
        <w:tc>
          <w:tcPr>
            <w:tcW w:type="dxa" w:w="3240"/>
            <w:vAlign w:val="center"/>
            <w:shd w:fill="D9EAF7"/>
          </w:tcPr>
          <w:p>
            <w:pPr>
              <w:spacing w:after="0"/>
            </w:pPr>
            <w:r/>
            <w:r>
              <w:rPr>
                <w:rFonts w:ascii="Arial" w:hAnsi="Arial"/>
                <w:b/>
                <w:sz w:val="18"/>
              </w:rPr>
              <w:t>Evidencia en el repositorio</w:t>
            </w:r>
          </w:p>
        </w:tc>
        <w:tc>
          <w:tcPr>
            <w:tcW w:type="dxa" w:w="4896"/>
            <w:vAlign w:val="center"/>
            <w:shd w:fill="D9EAF7"/>
          </w:tcPr>
          <w:p>
            <w:pPr>
              <w:spacing w:after="0"/>
            </w:pPr>
            <w:r/>
            <w:r>
              <w:rPr>
                <w:rFonts w:ascii="Arial" w:hAnsi="Arial"/>
                <w:b/>
                <w:sz w:val="18"/>
              </w:rPr>
              <w:t>Estado que puede afirmarse</w:t>
            </w:r>
          </w:p>
        </w:tc>
      </w:tr>
      <w:tr>
        <w:tc>
          <w:tcPr>
            <w:tcW w:type="dxa" w:w="1800"/>
            <w:vAlign w:val="center"/>
          </w:tcPr>
          <w:p>
            <w:pPr>
              <w:spacing w:after="0"/>
            </w:pPr>
            <w:r/>
            <w:r>
              <w:rPr>
                <w:rFonts w:ascii="Arial" w:hAnsi="Arial"/>
                <w:b w:val="0"/>
                <w:sz w:val="18"/>
              </w:rPr>
              <w:t>Interfaz</w:t>
            </w:r>
          </w:p>
        </w:tc>
        <w:tc>
          <w:tcPr>
            <w:tcW w:type="dxa" w:w="3240"/>
            <w:vAlign w:val="center"/>
          </w:tcPr>
          <w:p>
            <w:pPr>
              <w:spacing w:after="0"/>
            </w:pPr>
            <w:r/>
            <w:r>
              <w:rPr>
                <w:rFonts w:ascii="Arial" w:hAnsi="Arial"/>
                <w:b w:val="0"/>
                <w:sz w:val="18"/>
              </w:rPr>
              <w:t>`app/src/App.tsx`, React/Vite</w:t>
            </w:r>
          </w:p>
        </w:tc>
        <w:tc>
          <w:tcPr>
            <w:tcW w:type="dxa" w:w="4896"/>
            <w:vAlign w:val="center"/>
          </w:tcPr>
          <w:p>
            <w:pPr>
              <w:spacing w:after="0"/>
            </w:pPr>
            <w:r/>
            <w:r>
              <w:rPr>
                <w:rFonts w:ascii="Arial" w:hAnsi="Arial"/>
                <w:b w:val="0"/>
                <w:sz w:val="18"/>
              </w:rPr>
              <w:t>Abre cámara, captura frames y prepara solicitudes de predicción.</w:t>
            </w:r>
          </w:p>
        </w:tc>
      </w:tr>
      <w:tr>
        <w:tc>
          <w:tcPr>
            <w:tcW w:type="dxa" w:w="1800"/>
            <w:vAlign w:val="center"/>
          </w:tcPr>
          <w:p>
            <w:pPr>
              <w:spacing w:after="0"/>
            </w:pPr>
            <w:r/>
            <w:r>
              <w:rPr>
                <w:rFonts w:ascii="Arial" w:hAnsi="Arial"/>
                <w:b w:val="0"/>
                <w:sz w:val="18"/>
              </w:rPr>
              <w:t>Proxy de predicción</w:t>
            </w:r>
          </w:p>
        </w:tc>
        <w:tc>
          <w:tcPr>
            <w:tcW w:type="dxa" w:w="3240"/>
            <w:vAlign w:val="center"/>
          </w:tcPr>
          <w:p>
            <w:pPr>
              <w:spacing w:after="0"/>
            </w:pPr>
            <w:r/>
            <w:r>
              <w:rPr>
                <w:rFonts w:ascii="Arial" w:hAnsi="Arial"/>
                <w:b w:val="0"/>
                <w:sz w:val="18"/>
              </w:rPr>
              <w:t>`app/vite.config.ts`</w:t>
            </w:r>
          </w:p>
        </w:tc>
        <w:tc>
          <w:tcPr>
            <w:tcW w:type="dxa" w:w="4896"/>
            <w:vAlign w:val="center"/>
          </w:tcPr>
          <w:p>
            <w:pPr>
              <w:spacing w:after="0"/>
            </w:pPr>
            <w:r/>
            <w:r>
              <w:rPr>
                <w:rFonts w:ascii="Arial" w:hAnsi="Arial"/>
                <w:b w:val="0"/>
                <w:sz w:val="18"/>
              </w:rPr>
              <w:t>Reenvía `/api/prediccion-frame` y `/api/prediccion` a `127.0.0.1:8765`; no implementa el servidor.</w:t>
            </w:r>
          </w:p>
        </w:tc>
      </w:tr>
      <w:tr>
        <w:tc>
          <w:tcPr>
            <w:tcW w:type="dxa" w:w="1800"/>
            <w:vAlign w:val="center"/>
          </w:tcPr>
          <w:p>
            <w:pPr>
              <w:spacing w:after="0"/>
            </w:pPr>
            <w:r/>
            <w:r>
              <w:rPr>
                <w:rFonts w:ascii="Arial" w:hAnsi="Arial"/>
                <w:b w:val="0"/>
                <w:sz w:val="18"/>
              </w:rPr>
              <w:t>Backend vigente</w:t>
            </w:r>
          </w:p>
        </w:tc>
        <w:tc>
          <w:tcPr>
            <w:tcW w:type="dxa" w:w="3240"/>
            <w:vAlign w:val="center"/>
          </w:tcPr>
          <w:p>
            <w:pPr>
              <w:spacing w:after="0"/>
            </w:pPr>
            <w:r/>
            <w:r>
              <w:rPr>
                <w:rFonts w:ascii="Arial" w:hAnsi="Arial"/>
                <w:b w:val="0"/>
                <w:sz w:val="18"/>
              </w:rPr>
              <w:t>No se encontró `app/aplicacion/servidor_interfaz.py` ni otro servidor en la raíz activa</w:t>
            </w:r>
          </w:p>
        </w:tc>
        <w:tc>
          <w:tcPr>
            <w:tcW w:type="dxa" w:w="4896"/>
            <w:vAlign w:val="center"/>
          </w:tcPr>
          <w:p>
            <w:pPr>
              <w:spacing w:after="0"/>
            </w:pPr>
            <w:r/>
            <w:r>
              <w:rPr>
                <w:rFonts w:ascii="Arial" w:hAnsi="Arial"/>
                <w:b w:val="0"/>
                <w:sz w:val="18"/>
              </w:rPr>
              <w:t>La predicción en tiempo real no está demostrada dentro de este repositorio.</w:t>
            </w:r>
          </w:p>
        </w:tc>
      </w:tr>
      <w:tr>
        <w:tc>
          <w:tcPr>
            <w:tcW w:type="dxa" w:w="1800"/>
            <w:vAlign w:val="center"/>
          </w:tcPr>
          <w:p>
            <w:pPr>
              <w:spacing w:after="0"/>
            </w:pPr>
            <w:r/>
            <w:r>
              <w:rPr>
                <w:rFonts w:ascii="Arial" w:hAnsi="Arial"/>
                <w:b w:val="0"/>
                <w:sz w:val="18"/>
              </w:rPr>
              <w:t>Autocompletado</w:t>
            </w:r>
          </w:p>
        </w:tc>
        <w:tc>
          <w:tcPr>
            <w:tcW w:type="dxa" w:w="3240"/>
            <w:vAlign w:val="center"/>
          </w:tcPr>
          <w:p>
            <w:pPr>
              <w:spacing w:after="0"/>
            </w:pPr>
            <w:r/>
            <w:r>
              <w:rPr>
                <w:rFonts w:ascii="Arial" w:hAnsi="Arial"/>
                <w:b w:val="0"/>
                <w:sz w:val="18"/>
              </w:rPr>
              <w:t>`app/src/components/GhostWord.tsx`, `app/public/diccionario_grande.txt`, `app/public/lsm_label_map.json`</w:t>
            </w:r>
          </w:p>
        </w:tc>
        <w:tc>
          <w:tcPr>
            <w:tcW w:type="dxa" w:w="4896"/>
            <w:vAlign w:val="center"/>
          </w:tcPr>
          <w:p>
            <w:pPr>
              <w:spacing w:after="0"/>
            </w:pPr>
            <w:r/>
            <w:r>
              <w:rPr>
                <w:rFonts w:ascii="Arial" w:hAnsi="Arial"/>
                <w:b w:val="0"/>
                <w:sz w:val="18"/>
              </w:rPr>
              <w:t>Sugiere una palabra por prefijo; no reconoce ni confirma la palabra.</w:t>
            </w:r>
          </w:p>
        </w:tc>
      </w:tr>
      <w:tr>
        <w:tc>
          <w:tcPr>
            <w:tcW w:type="dxa" w:w="1800"/>
            <w:vAlign w:val="center"/>
          </w:tcPr>
          <w:p>
            <w:pPr>
              <w:spacing w:after="0"/>
            </w:pPr>
            <w:r/>
            <w:r>
              <w:rPr>
                <w:rFonts w:ascii="Arial" w:hAnsi="Arial"/>
                <w:b w:val="0"/>
                <w:sz w:val="18"/>
              </w:rPr>
              <w:t>Captura de dataset</w:t>
            </w:r>
          </w:p>
        </w:tc>
        <w:tc>
          <w:tcPr>
            <w:tcW w:type="dxa" w:w="3240"/>
            <w:vAlign w:val="center"/>
          </w:tcPr>
          <w:p>
            <w:pPr>
              <w:spacing w:after="0"/>
            </w:pPr>
            <w:r/>
            <w:r>
              <w:rPr>
                <w:rFonts w:ascii="Arial" w:hAnsi="Arial"/>
                <w:b w:val="0"/>
                <w:sz w:val="18"/>
              </w:rPr>
              <w:t>`app/src/training/datasetStorage.ts` y `TrainingPanel.tsx`</w:t>
            </w:r>
          </w:p>
        </w:tc>
        <w:tc>
          <w:tcPr>
            <w:tcW w:type="dxa" w:w="4896"/>
            <w:vAlign w:val="center"/>
          </w:tcPr>
          <w:p>
            <w:pPr>
              <w:spacing w:after="0"/>
            </w:pPr>
            <w:r/>
            <w:r>
              <w:rPr>
                <w:rFonts w:ascii="Arial" w:hAnsi="Arial"/>
                <w:b w:val="0"/>
                <w:sz w:val="18"/>
              </w:rPr>
              <w:t>Guarda frames en IndexedDB y exporta ZIP; el entrenamiento depende de `/api/entrenar`.</w:t>
            </w:r>
          </w:p>
        </w:tc>
      </w:tr>
      <w:tr>
        <w:tc>
          <w:tcPr>
            <w:tcW w:type="dxa" w:w="1800"/>
            <w:vAlign w:val="center"/>
          </w:tcPr>
          <w:p>
            <w:pPr>
              <w:spacing w:after="0"/>
            </w:pPr>
            <w:r/>
            <w:r>
              <w:rPr>
                <w:rFonts w:ascii="Arial" w:hAnsi="Arial"/>
                <w:b w:val="0"/>
                <w:sz w:val="18"/>
              </w:rPr>
              <w:t>Modelo temporal</w:t>
            </w:r>
          </w:p>
        </w:tc>
        <w:tc>
          <w:tcPr>
            <w:tcW w:type="dxa" w:w="3240"/>
            <w:vAlign w:val="center"/>
          </w:tcPr>
          <w:p>
            <w:pPr>
              <w:spacing w:after="0"/>
            </w:pPr>
            <w:r/>
            <w:r>
              <w:rPr>
                <w:rFonts w:ascii="Arial" w:hAnsi="Arial"/>
                <w:b w:val="0"/>
                <w:sz w:val="18"/>
              </w:rPr>
              <w:t>`entrenador/core-pt/lsm/models/tcn.py`</w:t>
            </w:r>
          </w:p>
        </w:tc>
        <w:tc>
          <w:tcPr>
            <w:tcW w:type="dxa" w:w="4896"/>
            <w:vAlign w:val="center"/>
          </w:tcPr>
          <w:p>
            <w:pPr>
              <w:spacing w:after="0"/>
            </w:pPr>
            <w:r/>
            <w:r>
              <w:rPr>
                <w:rFonts w:ascii="Arial" w:hAnsi="Arial"/>
                <w:b w:val="0"/>
                <w:sz w:val="18"/>
              </w:rPr>
              <w:t>TCN PyTorch con entradas `(batch, 30, features)` y salida de logits.</w:t>
            </w:r>
          </w:p>
        </w:tc>
      </w:tr>
      <w:tr>
        <w:tc>
          <w:tcPr>
            <w:tcW w:type="dxa" w:w="1800"/>
            <w:vAlign w:val="center"/>
          </w:tcPr>
          <w:p>
            <w:pPr>
              <w:spacing w:after="0"/>
            </w:pPr>
            <w:r/>
            <w:r>
              <w:rPr>
                <w:rFonts w:ascii="Arial" w:hAnsi="Arial"/>
                <w:b w:val="0"/>
                <w:sz w:val="18"/>
              </w:rPr>
              <w:t>Runtime heredado</w:t>
            </w:r>
          </w:p>
        </w:tc>
        <w:tc>
          <w:tcPr>
            <w:tcW w:type="dxa" w:w="3240"/>
            <w:vAlign w:val="center"/>
          </w:tcPr>
          <w:p>
            <w:pPr>
              <w:spacing w:after="0"/>
            </w:pPr>
            <w:r/>
            <w:r>
              <w:rPr>
                <w:rFonts w:ascii="Arial" w:hAnsi="Arial"/>
                <w:b w:val="0"/>
                <w:sz w:val="18"/>
              </w:rPr>
              <w:t>`core/modelo/usar_modelo.py`</w:t>
            </w:r>
          </w:p>
        </w:tc>
        <w:tc>
          <w:tcPr>
            <w:tcW w:type="dxa" w:w="4896"/>
            <w:vAlign w:val="center"/>
          </w:tcPr>
          <w:p>
            <w:pPr>
              <w:spacing w:after="0"/>
            </w:pPr>
            <w:r/>
            <w:r>
              <w:rPr>
                <w:rFonts w:ascii="Arial" w:hAnsi="Arial"/>
                <w:b w:val="0"/>
                <w:sz w:val="18"/>
              </w:rPr>
              <w:t>Carga modelos TensorFlow/TFLite desde `modelos/`; no es el runtime conectado a la app React vigente.</w:t>
            </w:r>
          </w:p>
        </w:tc>
      </w:tr>
      <w:tr>
        <w:tc>
          <w:tcPr>
            <w:tcW w:type="dxa" w:w="1800"/>
            <w:vAlign w:val="center"/>
          </w:tcPr>
          <w:p>
            <w:pPr>
              <w:spacing w:after="0"/>
            </w:pPr>
            <w:r/>
            <w:r>
              <w:rPr>
                <w:rFonts w:ascii="Arial" w:hAnsi="Arial"/>
                <w:b w:val="0"/>
                <w:sz w:val="18"/>
              </w:rPr>
              <w:t>Archivos desactualizados</w:t>
            </w:r>
          </w:p>
        </w:tc>
        <w:tc>
          <w:tcPr>
            <w:tcW w:type="dxa" w:w="3240"/>
            <w:vAlign w:val="center"/>
          </w:tcPr>
          <w:p>
            <w:pPr>
              <w:spacing w:after="0"/>
            </w:pPr>
            <w:r/>
            <w:r>
              <w:rPr>
                <w:rFonts w:ascii="Arial" w:hAnsi="Arial"/>
                <w:b w:val="0"/>
                <w:sz w:val="18"/>
              </w:rPr>
              <w:t>`_desactualizado/`</w:t>
            </w:r>
          </w:p>
        </w:tc>
        <w:tc>
          <w:tcPr>
            <w:tcW w:type="dxa" w:w="4896"/>
            <w:vAlign w:val="center"/>
          </w:tcPr>
          <w:p>
            <w:pPr>
              <w:spacing w:after="0"/>
            </w:pPr>
            <w:r/>
            <w:r>
              <w:rPr>
                <w:rFonts w:ascii="Arial" w:hAnsi="Arial"/>
                <w:b w:val="0"/>
                <w:sz w:val="18"/>
              </w:rPr>
              <w:t>No deben usarse como evidencia del sistema vigente.</w:t>
            </w:r>
          </w:p>
        </w:tc>
      </w:tr>
    </w:tbl>
    <w:p/>
    <w:p>
      <w:pPr>
        <w:pStyle w:val="Heading1"/>
        <w:spacing w:before="200" w:after="80"/>
      </w:pPr>
      <w:r>
        <w:t>4. Datos y representaciones</w:t>
      </w:r>
    </w:p>
    <w:p>
      <w:pPr>
        <w:spacing w:after="120" w:line="259" w:lineRule="auto"/>
      </w:pPr>
      <w:r>
        <w:t>El repositorio contiene varios inventarios de datos. `dataset/manifests/label_map.json` define 249 etiquetas nominales de vocabulario. Esa cifra describe un mapa de nombres; no significa que las 249 clases tengan igual número de muestras ni que todas formen parte del checkpoint MSL-ABC. Además, `docs/analisis/fase1-extraccion/manifest.csv` conserva una muestra pequeña de 61 filas y rutas de características de una línea de extracción anterior. Los datos procesados grandes no están presentes en el clon actual porque los archivos `.npy` están excluidos por `.gitignore`.</w:t>
      </w:r>
    </w:p>
    <w:p>
      <w:pPr>
        <w:spacing w:after="120" w:line="259" w:lineRule="auto"/>
      </w:pPr>
      <w:r>
        <w:t>La función `core/vision/puntos.py` trabaja con 21 puntos por mano y puede formar una representación de dos manos de 126 valores por cuadro. Esa representación es compatible con la tarea `successor_positions126`, cuyo contrato de entrada aparece en el entrenador como una secuencia de 30 cuadros por 126 valores. El mismo repositorio contiene otras dimensiones y otras tareas; por eso no es correcto describir todos los modelos como si recibieran la misma entrada.</w:t>
      </w:r>
    </w:p>
    <w:p>
      <w:pPr>
        <w:spacing w:after="120" w:line="259" w:lineRule="auto"/>
      </w:pPr>
      <w:r>
        <w:t>La interfaz actual también conserva un diccionario local de 92,137 líneas y un mapa público de etiquetas LSM. El autocompletado normaliza el prefijo, busca palabras que comiencen con él y muestra una coincidencia fantasma. La lógica no incorpora todavía una puntuación de confianza, una lista de alternativas ni un botón de rechazo; esas funciones forman parte de la mejora necesaria para no sugerir una palabra incierta como si hubiera sido reconocida.</w:t>
      </w:r>
    </w:p>
    <w:p>
      <w:pPr>
        <w:pStyle w:val="Heading1"/>
        <w:spacing w:before="200" w:after="80"/>
      </w:pPr>
      <w:r>
        <w:t>5. Arquitectura vigente del modelo experimental</w:t>
      </w:r>
    </w:p>
    <w:p>
      <w:pPr>
        <w:spacing w:after="120" w:line="259" w:lineRule="auto"/>
      </w:pPr>
      <w:r>
        <w:t>El archivo `entrenador/core-pt/lsm/models/tcn.py` define `TemporalTCN` y varias variantes. La arquitectura base transforma la secuencia `(batch, frames, features)` a canales temporales mediante una convolución `Conv1d`, aplica bloques residuales con dilataciones `(1, 2, 4, 8)`, realiza pooling temporal adaptativo y termina con una cabeza lineal de clasificación. La salida son logits; la normalización de la pérdida ocurre durante el entrenamiento.</w:t>
      </w:r>
    </w:p>
    <w:p>
      <w:pPr>
        <w:spacing w:after="120" w:line="259" w:lineRule="auto"/>
      </w:pPr>
      <w:r>
        <w:t>La fábrica `build_model` instancia `TemporalTCN` para `successor_positions126` y para varias tareas sucesoras. También registra modelos diferentes para letras dinámicas, palabras aisladas y representaciones con otras dimensiones. La existencia de esos nombres en la fábrica indica capacidad experimental, no una selección automática de un modelo listo para producción.</w:t>
      </w:r>
    </w:p>
    <w:p>
      <w:pPr>
        <w:spacing w:after="120" w:line="259" w:lineRule="auto"/>
      </w:pPr>
      <w:r>
        <w:t>La arquitectura anterior Conv1D más BiLSTM que aparecía en versiones previas no es la arquitectura que debe describirse como vigente para el checkpoint MSL-ABC. El protocolo la conserva solo como antecedente histórico de la documentación, no como resultado de la implementación actual.</w:t>
      </w:r>
    </w:p>
    <w:p>
      <w:pPr>
        <w:pStyle w:val="Heading1"/>
        <w:spacing w:before="200" w:after="80"/>
      </w:pPr>
      <w:r>
        <w:t>6. Experimentos y resultados</w:t>
      </w:r>
    </w:p>
    <w:p>
      <w:pPr>
        <w:spacing w:after="120" w:line="259" w:lineRule="auto"/>
      </w:pPr>
      <w:r>
        <w:t>Los resultados deben leerse por experimento. No se mezclan métricas del benchmark de 249 etiquetas con las del dataset MSL-ABC, porque utilizan fuentes, clases y estados de entrenamiento distintos.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D9EAF7"/>
          </w:tcPr>
          <w:p>
            <w:pPr>
              <w:spacing w:after="0"/>
            </w:pPr>
            <w:r/>
            <w:r>
              <w:rPr>
                <w:rFonts w:ascii="Arial" w:hAnsi="Arial"/>
                <w:b/>
                <w:sz w:val="18"/>
              </w:rPr>
              <w:t>Experimento</w:t>
            </w:r>
          </w:p>
        </w:tc>
        <w:tc>
          <w:tcPr>
            <w:tcW w:type="dxa" w:w="4608"/>
            <w:vAlign w:val="center"/>
            <w:shd w:fill="D9EAF7"/>
          </w:tcPr>
          <w:p>
            <w:pPr>
              <w:spacing w:after="0"/>
            </w:pPr>
            <w:r/>
            <w:r>
              <w:rPr>
                <w:rFonts w:ascii="Arial" w:hAnsi="Arial"/>
                <w:b/>
                <w:sz w:val="18"/>
              </w:rPr>
              <w:t>Configuración comprobada</w:t>
            </w:r>
          </w:p>
        </w:tc>
        <w:tc>
          <w:tcPr>
            <w:tcW w:type="dxa" w:w="3096"/>
            <w:vAlign w:val="center"/>
            <w:shd w:fill="D9EAF7"/>
          </w:tcPr>
          <w:p>
            <w:pPr>
              <w:spacing w:after="0"/>
            </w:pPr>
            <w:r/>
            <w:r>
              <w:rPr>
                <w:rFonts w:ascii="Arial" w:hAnsi="Arial"/>
                <w:b/>
                <w:sz w:val="18"/>
              </w:rPr>
              <w:t>Resultado y limitación</w:t>
            </w:r>
          </w:p>
        </w:tc>
      </w:tr>
      <w:tr>
        <w:tc>
          <w:tcPr>
            <w:tcW w:type="dxa" w:w="2232"/>
            <w:vAlign w:val="center"/>
          </w:tcPr>
          <w:p>
            <w:pPr>
              <w:spacing w:after="0"/>
            </w:pPr>
            <w:r/>
            <w:r>
              <w:rPr>
                <w:rFonts w:ascii="Arial" w:hAnsi="Arial"/>
                <w:b w:val="0"/>
                <w:sz w:val="18"/>
              </w:rPr>
              <w:t>`successor_positions126`</w:t>
            </w:r>
          </w:p>
        </w:tc>
        <w:tc>
          <w:tcPr>
            <w:tcW w:type="dxa" w:w="4608"/>
            <w:vAlign w:val="center"/>
          </w:tcPr>
          <w:p>
            <w:pPr>
              <w:spacing w:after="0"/>
            </w:pPr>
            <w:r/>
            <w:r>
              <w:rPr>
                <w:rFonts w:ascii="Arial" w:hAnsi="Arial"/>
                <w:b w:val="0"/>
                <w:sz w:val="18"/>
              </w:rPr>
              <w:t>249 etiquetas; entrada `[30, 126]`; 1,675 train, 379 validation y 393 test; 19 épocas registradas; dispositivo superior reportado como CPU.</w:t>
            </w:r>
          </w:p>
        </w:tc>
        <w:tc>
          <w:tcPr>
            <w:tcW w:type="dxa" w:w="3096"/>
            <w:vAlign w:val="center"/>
          </w:tcPr>
          <w:p>
            <w:pPr>
              <w:spacing w:after="0"/>
            </w:pPr>
            <w:r/>
            <w:r>
              <w:rPr>
                <w:rFonts w:ascii="Arial" w:hAnsi="Arial"/>
                <w:b w:val="0"/>
                <w:sz w:val="18"/>
              </w:rPr>
              <w:t>Test accuracy 0.0 y macro-F1 0.0 sobre 393 muestras. Es evidencia de un experimento insuficiente, no de una traducción disponible.</w:t>
            </w:r>
          </w:p>
        </w:tc>
      </w:tr>
      <w:tr>
        <w:tc>
          <w:tcPr>
            <w:tcW w:type="dxa" w:w="2232"/>
            <w:vAlign w:val="center"/>
          </w:tcPr>
          <w:p>
            <w:pPr>
              <w:spacing w:after="0"/>
            </w:pPr>
            <w:r/>
            <w:r>
              <w:rPr>
                <w:rFonts w:ascii="Arial" w:hAnsi="Arial"/>
                <w:b w:val="0"/>
                <w:sz w:val="18"/>
              </w:rPr>
              <w:t>MSL-ABC</w:t>
            </w:r>
          </w:p>
        </w:tc>
        <w:tc>
          <w:tcPr>
            <w:tcW w:type="dxa" w:w="4608"/>
            <w:vAlign w:val="center"/>
          </w:tcPr>
          <w:p>
            <w:pPr>
              <w:spacing w:after="0"/>
            </w:pPr>
            <w:r/>
            <w:r>
              <w:rPr>
                <w:rFonts w:ascii="Arial" w:hAnsi="Arial"/>
                <w:b w:val="0"/>
                <w:sz w:val="18"/>
              </w:rPr>
              <w:t>279,716 imágenes y 279,716 representaciones `.npy` según `docs/analisis/fase2-entrenamiento-msl-abc/ANALISIS.md`; TCN de 74 clases; checkpoint `best.pt` de 548,701 bytes.</w:t>
            </w:r>
          </w:p>
        </w:tc>
        <w:tc>
          <w:tcPr>
            <w:tcW w:type="dxa" w:w="3096"/>
            <w:vAlign w:val="center"/>
          </w:tcPr>
          <w:p>
            <w:pPr>
              <w:spacing w:after="0"/>
            </w:pPr>
            <w:r/>
            <w:r>
              <w:rPr>
                <w:rFonts w:ascii="Arial" w:hAnsi="Arial"/>
                <w:b w:val="0"/>
                <w:sz w:val="18"/>
              </w:rPr>
              <w:t>Entrenamiento cortado durante la primera época en CPU; el reporte registra accuracy 0.048 y macro-F1 0.038. No hay evaluación final ni backend que lo conecte con la cámara.</w:t>
            </w:r>
          </w:p>
        </w:tc>
      </w:tr>
      <w:tr>
        <w:tc>
          <w:tcPr>
            <w:tcW w:type="dxa" w:w="2232"/>
            <w:vAlign w:val="center"/>
          </w:tcPr>
          <w:p>
            <w:pPr>
              <w:spacing w:after="0"/>
            </w:pPr>
            <w:r/>
            <w:r>
              <w:rPr>
                <w:rFonts w:ascii="Arial" w:hAnsi="Arial"/>
                <w:b w:val="0"/>
                <w:sz w:val="18"/>
              </w:rPr>
              <w:t>Autocompletado local</w:t>
            </w:r>
          </w:p>
        </w:tc>
        <w:tc>
          <w:tcPr>
            <w:tcW w:type="dxa" w:w="4608"/>
            <w:vAlign w:val="center"/>
          </w:tcPr>
          <w:p>
            <w:pPr>
              <w:spacing w:after="0"/>
            </w:pPr>
            <w:r/>
            <w:r>
              <w:rPr>
                <w:rFonts w:ascii="Arial" w:hAnsi="Arial"/>
                <w:b w:val="0"/>
                <w:sz w:val="18"/>
              </w:rPr>
              <w:t>Prefijo recibido por la interfaz; diccionario local y mapa de etiquetas públicos.</w:t>
            </w:r>
          </w:p>
        </w:tc>
        <w:tc>
          <w:tcPr>
            <w:tcW w:type="dxa" w:w="3096"/>
            <w:vAlign w:val="center"/>
          </w:tcPr>
          <w:p>
            <w:pPr>
              <w:spacing w:after="0"/>
            </w:pPr>
            <w:r/>
            <w:r>
              <w:rPr>
                <w:rFonts w:ascii="Arial" w:hAnsi="Arial"/>
                <w:b w:val="0"/>
                <w:sz w:val="18"/>
              </w:rPr>
              <w:t>La sugerencia es una ayuda visual. No constituye una métrica de reconocimiento ni una palabra aceptada por el usuario.</w:t>
            </w:r>
          </w:p>
        </w:tc>
      </w:tr>
    </w:tbl>
    <w:p/>
    <w:p>
      <w:pPr>
        <w:spacing w:after="120" w:line="259" w:lineRule="auto"/>
      </w:pPr>
      <w:r>
        <w:t>El resultado de 0% del experimento `successor_positions126` y el resultado parcial del checkpoint MSL-ABC deben permanecer visibles porque delimitan el estado real. Una precisión de entrenamiento o una métrica de una época no puede presentarse como desempeño en cámara ni como validación con personas nuevas.</w:t>
      </w:r>
    </w:p>
    <w:p>
      <w:pPr>
        <w:pStyle w:val="Heading1"/>
        <w:spacing w:before="200" w:after="80"/>
      </w:pPr>
      <w:r>
        <w:t>7. Aplicación y correcciones realizadas</w:t>
      </w:r>
    </w:p>
    <w:p>
      <w:pPr>
        <w:spacing w:after="120" w:line="259" w:lineRule="auto"/>
      </w:pPr>
      <w:r>
        <w:t>La aplicación actual usa la cámara mediante `getUserMedia`. Cuando la cámara está activa, captura un frame JPEG aproximadamente cada 700 milisegundos y lo envía a `/api/prediccion-frame`. El proxy de Vite apunta a `127.0.0.1:8765`, pero el repositorio no contiene el servicio que debería responder. La interfaz, por tanto, puede prepararse para la integración, pero no debe anunciar que la predicción funciona de extremo a extremo hasta que ese backend exista y sea probado.</w:t>
      </w:r>
    </w:p>
    <w:p>
      <w:pPr>
        <w:spacing w:after="120" w:line="259" w:lineRule="auto"/>
      </w:pPr>
      <w:r>
        <w:t>Durante esta revisión se corrigió un bloqueo de compilación: `TrainingPanel.tsx` importaba `TrainButton`, pero el archivo no existía. Se añadió el componente y se verificó `pnpm exec tsc --noEmit` junto con `pnpm run build`. También se reemplazó el borrado simulado del panel por una operación que elimina los frames más antiguos de IndexedDB y se añadió manejo de errores para que una ausencia del backend no deje el botón de entrenamiento en estado permanente.</w:t>
      </w:r>
    </w:p>
    <w:p>
      <w:pPr>
        <w:pStyle w:val="Heading1"/>
        <w:spacing w:before="200" w:after="80"/>
      </w:pPr>
      <w:r>
        <w:t>8. Conclusiones</w:t>
      </w:r>
    </w:p>
    <w:p>
      <w:pPr>
        <w:spacing w:after="120" w:line="259" w:lineRule="auto"/>
      </w:pPr>
      <w:r>
        <w:t>El repositorio conserva una base técnica útil: extracción de puntos, familias de modelos temporales, manifiestos, una interfaz web y un autocompletado local. Sin embargo, esas piezas no forman todavía un traductor validado. La app React actual está desacoplada del runtime TensorFlow/TFLite heredado y el TCN PyTorch no tiene un servicio de inferencia conectado a la cámara en el repositorio vigente.</w:t>
      </w:r>
    </w:p>
    <w:p>
      <w:pPr>
        <w:spacing w:after="120" w:line="259" w:lineRule="auto"/>
      </w:pPr>
      <w:r>
        <w:t>La estrategia correcta es progresiva. Primero hay que completar el entrenamiento y la evaluación del modelo que se quiera usar; después implementar un backend que reproduzca la misma extracción de características y valide la forma del tensor; finalmente integrar confianza, estabilización y rechazo antes de mostrar una salida como texto. El autocompletado puede seguir apoyando el deletreo, pero debe permanecer visualmente diferenciado de la traducción directa.</w:t>
      </w:r>
    </w:p>
    <w:p>
      <w:pPr>
        <w:spacing w:after="120" w:line="259" w:lineRule="auto"/>
      </w:pPr>
      <w:r>
        <w:t>La meta de reconocer más señas y formar palabras no se abandona. Se vuelve medible: cada nueva versión debe indicar qué clases cubre, cuántos participantes aporta, qué checkpoint utiliza, qué separación aplica y qué prueba demuestra que la mejora llegó a la interfaz.</w:t>
      </w:r>
    </w:p>
    <w:p>
      <w:pPr>
        <w:pStyle w:val="Heading1"/>
        <w:spacing w:before="200" w:after="80"/>
      </w:pPr>
      <w:r>
        <w:t>9. Próximos pasos verificables</w:t>
      </w:r>
    </w:p>
    <w:p>
      <w:pPr>
        <w:pStyle w:val="ListBullet"/>
        <w:spacing w:after="60"/>
      </w:pPr>
      <w:r>
        <w:t>Implementar o incorporar al repositorio el backend que atienda `/api/prediccion-frame` y documentar cómo inicia, qué modelo carga y qué forma de entrada espera.</w:t>
      </w:r>
    </w:p>
    <w:p>
      <w:pPr>
        <w:pStyle w:val="ListBullet"/>
        <w:spacing w:after="60"/>
      </w:pPr>
      <w:r>
        <w:t>Completar el entrenamiento MSL-ABC o declarar formalmente el checkpoint parcial como exploratorio; después evaluar con partición por firmante y conservar métricas de validación y prueba.</w:t>
      </w:r>
    </w:p>
    <w:p>
      <w:pPr>
        <w:pStyle w:val="ListBullet"/>
        <w:spacing w:after="60"/>
      </w:pPr>
      <w:r>
        <w:t>Unificar el contrato entre MediaPipe, `core/vision/puntos.py`, el TCN y la interfaz. La representación usada en entrenamiento debe ser exactamente la que llegue desde la cámara.</w:t>
      </w:r>
    </w:p>
    <w:p>
      <w:pPr>
        <w:pStyle w:val="ListBullet"/>
        <w:spacing w:after="60"/>
      </w:pPr>
      <w:r>
        <w:t>Añadir umbral, estabilización, confianza visible, alternativas y rechazo tanto para la salida del modelo como para el autocompletado.</w:t>
      </w:r>
    </w:p>
    <w:p>
      <w:pPr>
        <w:pStyle w:val="ListBullet"/>
        <w:spacing w:after="60"/>
      </w:pPr>
      <w:r>
        <w:t>Actualizar los README que todavía apuntan a `app/aplicacion/servidor_interfaz.py` y distinguir en cada documento qué pertenece a `_desactualizado/`.</w:t>
      </w:r>
    </w:p>
    <w:p>
      <w:pPr>
        <w:pStyle w:val="ListBullet"/>
        <w:spacing w:after="60"/>
      </w:pPr>
      <w:r>
        <w:t>Repetir las pruebas con participantes que no hayan contribuido al entrenamiento y registrar condiciones de cámara, iluminación y dispositivo.</w:t>
      </w:r>
    </w:p>
    <w:p>
      <w:pPr>
        <w:pStyle w:val="Heading1"/>
        <w:spacing w:before="200" w:after="80"/>
      </w:pPr>
      <w:r>
        <w:t>10. Glosario técnico</w:t>
      </w:r>
    </w:p>
    <w:tbl>
      <w:tblPr>
        <w:tblStyle w:val="TableGrid"/>
        <w:tblW w:type="auto" w:w="0"/>
        <w:jc w:val="center"/>
        <w:tblLook w:firstColumn="1" w:firstRow="1" w:lastColumn="0" w:lastRow="0" w:noHBand="0" w:noVBand="1" w:val="04A0"/>
      </w:tblPr>
      <w:tblGrid>
        <w:gridCol w:w="4968"/>
        <w:gridCol w:w="4968"/>
      </w:tblGrid>
      <w:tr>
        <w:tc>
          <w:tcPr>
            <w:tcW w:type="dxa" w:w="2232"/>
            <w:vAlign w:val="center"/>
            <w:shd w:fill="D9EAF7"/>
          </w:tcPr>
          <w:p>
            <w:pPr>
              <w:spacing w:after="0"/>
            </w:pPr>
            <w:r/>
            <w:r>
              <w:rPr>
                <w:rFonts w:ascii="Arial" w:hAnsi="Arial"/>
                <w:b/>
                <w:sz w:val="18"/>
              </w:rPr>
              <w:t>Término</w:t>
            </w:r>
          </w:p>
        </w:tc>
        <w:tc>
          <w:tcPr>
            <w:tcW w:type="dxa" w:w="7704"/>
            <w:vAlign w:val="center"/>
            <w:shd w:fill="D9EAF7"/>
          </w:tcPr>
          <w:p>
            <w:pPr>
              <w:spacing w:after="0"/>
            </w:pPr>
            <w:r/>
            <w:r>
              <w:rPr>
                <w:rFonts w:ascii="Arial" w:hAnsi="Arial"/>
                <w:b/>
                <w:sz w:val="18"/>
              </w:rPr>
              <w:t>Definición</w:t>
            </w:r>
          </w:p>
        </w:tc>
      </w:tr>
      <w:tr>
        <w:tc>
          <w:tcPr>
            <w:tcW w:type="dxa" w:w="2232"/>
            <w:vAlign w:val="center"/>
          </w:tcPr>
          <w:p>
            <w:pPr>
              <w:spacing w:after="0"/>
            </w:pPr>
            <w:r/>
            <w:r>
              <w:rPr>
                <w:rFonts w:ascii="Arial" w:hAnsi="Arial"/>
                <w:b w:val="0"/>
                <w:sz w:val="18"/>
              </w:rPr>
              <w:t>Keypoint</w:t>
            </w:r>
          </w:p>
        </w:tc>
        <w:tc>
          <w:tcPr>
            <w:tcW w:type="dxa" w:w="7704"/>
            <w:vAlign w:val="center"/>
          </w:tcPr>
          <w:p>
            <w:pPr>
              <w:spacing w:after="0"/>
            </w:pPr>
            <w:r/>
            <w:r>
              <w:rPr>
                <w:rFonts w:ascii="Arial" w:hAnsi="Arial"/>
                <w:b w:val="0"/>
                <w:sz w:val="18"/>
              </w:rPr>
              <w:t>Punto de coordenadas que representa una referencia anatómica detectada en la imagen.</w:t>
            </w:r>
          </w:p>
        </w:tc>
      </w:tr>
      <w:tr>
        <w:tc>
          <w:tcPr>
            <w:tcW w:type="dxa" w:w="2232"/>
            <w:vAlign w:val="center"/>
          </w:tcPr>
          <w:p>
            <w:pPr>
              <w:spacing w:after="0"/>
            </w:pPr>
            <w:r/>
            <w:r>
              <w:rPr>
                <w:rFonts w:ascii="Arial" w:hAnsi="Arial"/>
                <w:b w:val="0"/>
                <w:sz w:val="18"/>
              </w:rPr>
              <w:t>TCN</w:t>
            </w:r>
          </w:p>
        </w:tc>
        <w:tc>
          <w:tcPr>
            <w:tcW w:type="dxa" w:w="7704"/>
            <w:vAlign w:val="center"/>
          </w:tcPr>
          <w:p>
            <w:pPr>
              <w:spacing w:after="0"/>
            </w:pPr>
            <w:r/>
            <w:r>
              <w:rPr>
                <w:rFonts w:ascii="Arial" w:hAnsi="Arial"/>
                <w:b w:val="0"/>
                <w:sz w:val="18"/>
              </w:rPr>
              <w:t>Red convolucional temporal que procesa secuencias mediante convoluciones 1D y bloques residuales.</w:t>
            </w:r>
          </w:p>
        </w:tc>
      </w:tr>
      <w:tr>
        <w:tc>
          <w:tcPr>
            <w:tcW w:type="dxa" w:w="2232"/>
            <w:vAlign w:val="center"/>
          </w:tcPr>
          <w:p>
            <w:pPr>
              <w:spacing w:after="0"/>
            </w:pPr>
            <w:r/>
            <w:r>
              <w:rPr>
                <w:rFonts w:ascii="Arial" w:hAnsi="Arial"/>
                <w:b w:val="0"/>
                <w:sz w:val="18"/>
              </w:rPr>
              <w:t>Logit</w:t>
            </w:r>
          </w:p>
        </w:tc>
        <w:tc>
          <w:tcPr>
            <w:tcW w:type="dxa" w:w="7704"/>
            <w:vAlign w:val="center"/>
          </w:tcPr>
          <w:p>
            <w:pPr>
              <w:spacing w:after="0"/>
            </w:pPr>
            <w:r/>
            <w:r>
              <w:rPr>
                <w:rFonts w:ascii="Arial" w:hAnsi="Arial"/>
                <w:b w:val="0"/>
                <w:sz w:val="18"/>
              </w:rPr>
              <w:t>Salida numérica de una clase antes de convertirla en probabilidades.</w:t>
            </w:r>
          </w:p>
        </w:tc>
      </w:tr>
      <w:tr>
        <w:tc>
          <w:tcPr>
            <w:tcW w:type="dxa" w:w="2232"/>
            <w:vAlign w:val="center"/>
          </w:tcPr>
          <w:p>
            <w:pPr>
              <w:spacing w:after="0"/>
            </w:pPr>
            <w:r/>
            <w:r>
              <w:rPr>
                <w:rFonts w:ascii="Arial" w:hAnsi="Arial"/>
                <w:b w:val="0"/>
                <w:sz w:val="18"/>
              </w:rPr>
              <w:t>Autocompletado</w:t>
            </w:r>
          </w:p>
        </w:tc>
        <w:tc>
          <w:tcPr>
            <w:tcW w:type="dxa" w:w="7704"/>
            <w:vAlign w:val="center"/>
          </w:tcPr>
          <w:p>
            <w:pPr>
              <w:spacing w:after="0"/>
            </w:pPr>
            <w:r/>
            <w:r>
              <w:rPr>
                <w:rFonts w:ascii="Arial" w:hAnsi="Arial"/>
                <w:b w:val="0"/>
                <w:sz w:val="18"/>
              </w:rPr>
              <w:t>Módulo que propone palabras a partir de un prefijo; no equivale al reconocimiento de una seña.</w:t>
            </w:r>
          </w:p>
        </w:tc>
      </w:tr>
      <w:tr>
        <w:tc>
          <w:tcPr>
            <w:tcW w:type="dxa" w:w="2232"/>
            <w:vAlign w:val="center"/>
          </w:tcPr>
          <w:p>
            <w:pPr>
              <w:spacing w:after="0"/>
            </w:pPr>
            <w:r/>
            <w:r>
              <w:rPr>
                <w:rFonts w:ascii="Arial" w:hAnsi="Arial"/>
                <w:b w:val="0"/>
                <w:sz w:val="18"/>
              </w:rPr>
              <w:t>Accuracy</w:t>
            </w:r>
          </w:p>
        </w:tc>
        <w:tc>
          <w:tcPr>
            <w:tcW w:type="dxa" w:w="7704"/>
            <w:vAlign w:val="center"/>
          </w:tcPr>
          <w:p>
            <w:pPr>
              <w:spacing w:after="0"/>
            </w:pPr>
            <w:r/>
            <w:r>
              <w:rPr>
                <w:rFonts w:ascii="Arial" w:hAnsi="Arial"/>
                <w:b w:val="0"/>
                <w:sz w:val="18"/>
              </w:rPr>
              <w:t>Proporción de predicciones correctas sobre el total de muestras evaluadas.</w:t>
            </w:r>
          </w:p>
        </w:tc>
      </w:tr>
      <w:tr>
        <w:tc>
          <w:tcPr>
            <w:tcW w:type="dxa" w:w="2232"/>
            <w:vAlign w:val="center"/>
          </w:tcPr>
          <w:p>
            <w:pPr>
              <w:spacing w:after="0"/>
            </w:pPr>
            <w:r/>
            <w:r>
              <w:rPr>
                <w:rFonts w:ascii="Arial" w:hAnsi="Arial"/>
                <w:b w:val="0"/>
                <w:sz w:val="18"/>
              </w:rPr>
              <w:t>Macro-F1</w:t>
            </w:r>
          </w:p>
        </w:tc>
        <w:tc>
          <w:tcPr>
            <w:tcW w:type="dxa" w:w="7704"/>
            <w:vAlign w:val="center"/>
          </w:tcPr>
          <w:p>
            <w:pPr>
              <w:spacing w:after="0"/>
            </w:pPr>
            <w:r/>
            <w:r>
              <w:rPr>
                <w:rFonts w:ascii="Arial" w:hAnsi="Arial"/>
                <w:b w:val="0"/>
                <w:sz w:val="18"/>
              </w:rPr>
              <w:t>Promedio del F1 de las clases, dando el mismo peso a cada una.</w:t>
            </w:r>
          </w:p>
        </w:tc>
      </w:tr>
      <w:tr>
        <w:tc>
          <w:tcPr>
            <w:tcW w:type="dxa" w:w="2232"/>
            <w:vAlign w:val="center"/>
          </w:tcPr>
          <w:p>
            <w:pPr>
              <w:spacing w:after="0"/>
            </w:pPr>
            <w:r/>
            <w:r>
              <w:rPr>
                <w:rFonts w:ascii="Arial" w:hAnsi="Arial"/>
                <w:b w:val="0"/>
                <w:sz w:val="18"/>
              </w:rPr>
              <w:t>Partición por firmante</w:t>
            </w:r>
          </w:p>
        </w:tc>
        <w:tc>
          <w:tcPr>
            <w:tcW w:type="dxa" w:w="7704"/>
            <w:vAlign w:val="center"/>
          </w:tcPr>
          <w:p>
            <w:pPr>
              <w:spacing w:after="0"/>
            </w:pPr>
            <w:r/>
            <w:r>
              <w:rPr>
                <w:rFonts w:ascii="Arial" w:hAnsi="Arial"/>
                <w:b w:val="0"/>
                <w:sz w:val="18"/>
              </w:rPr>
              <w:t>Separación en la que una persona puede quedar fuera del entrenamiento para medir generalización a otra persona.</w:t>
            </w:r>
          </w:p>
        </w:tc>
      </w:tr>
      <w:tr>
        <w:tc>
          <w:tcPr>
            <w:tcW w:type="dxa" w:w="2232"/>
            <w:vAlign w:val="center"/>
          </w:tcPr>
          <w:p>
            <w:pPr>
              <w:spacing w:after="0"/>
            </w:pPr>
            <w:r/>
            <w:r>
              <w:rPr>
                <w:rFonts w:ascii="Arial" w:hAnsi="Arial"/>
                <w:b w:val="0"/>
                <w:sz w:val="18"/>
              </w:rPr>
              <w:t>Rechazo</w:t>
            </w:r>
          </w:p>
        </w:tc>
        <w:tc>
          <w:tcPr>
            <w:tcW w:type="dxa" w:w="7704"/>
            <w:vAlign w:val="center"/>
          </w:tcPr>
          <w:p>
            <w:pPr>
              <w:spacing w:after="0"/>
            </w:pPr>
            <w:r/>
            <w:r>
              <w:rPr>
                <w:rFonts w:ascii="Arial" w:hAnsi="Arial"/>
                <w:b w:val="0"/>
                <w:sz w:val="18"/>
              </w:rPr>
              <w:t>Decisión de no mostrar una predicción cuando su evidencia o confianza no alcanza el umbral definido.</w:t>
            </w:r>
          </w:p>
        </w:tc>
      </w:tr>
    </w:tbl>
    <w:p/>
    <w:p>
      <w:pPr>
        <w:pStyle w:val="Heading1"/>
        <w:spacing w:before="200" w:after="80"/>
      </w:pPr>
      <w:r>
        <w:t>11. Referencias</w:t>
      </w:r>
    </w:p>
    <w:p>
      <w:pPr>
        <w:spacing w:after="120" w:line="259" w:lineRule="auto"/>
      </w:pPr>
      <w:r>
        <w:t>[1] Google AI. MediaPipe Hand Landmarker. https://ai.google.dev/edge/mediapipe/solutions/vision/hand_landmarker</w:t>
      </w:r>
    </w:p>
    <w:p>
      <w:pPr>
        <w:spacing w:after="120" w:line="259" w:lineRule="auto"/>
      </w:pPr>
      <w:r>
        <w:t>[2] Repositorio interno, `app/src/App.tsx`, `app/vite.config.ts`, `app/src/components/GhostWord.tsx` y `app/src/components/TrainingPanel.tsx`, commit `e0bb5ac`.</w:t>
      </w:r>
    </w:p>
    <w:p>
      <w:pPr>
        <w:spacing w:after="120" w:line="259" w:lineRule="auto"/>
      </w:pPr>
      <w:r>
        <w:t>[3] Repositorio interno, `entrenador/core-pt/lsm/models/tcn.py` y `entrenador/core-pt/lsm/training/train_classifier.py`, commit `e0bb5ac`.</w:t>
      </w:r>
    </w:p>
    <w:p>
      <w:pPr>
        <w:spacing w:after="120" w:line="259" w:lineRule="auto"/>
      </w:pPr>
      <w:r>
        <w:t>[4] Repositorio interno, `docs/analisis/fase2-entrenamiento/metrics.json` y `docs/analisis/fase2-entrenamiento-msl-abc/ANALISIS.md`, commit `e0bb5ac`.</w:t>
      </w:r>
    </w:p>
    <w:p>
      <w:pPr>
        <w:spacing w:after="120" w:line="259" w:lineRule="auto"/>
      </w:pPr>
      <w:r>
        <w:t>[5] Repositorio interno, `dataset/manifests/label_map.json` y `core/vision/puntos.py`, commit `e0bb5ac`.</w:t>
      </w:r>
    </w:p>
    <w:p>
      <w:pPr>
        <w:pStyle w:val="Heading1"/>
        <w:spacing w:before="200" w:after="80"/>
      </w:pPr>
      <w:r>
        <w:t>12. Pendientes administrativos</w:t>
      </w:r>
    </w:p>
    <w:p>
      <w:pPr>
        <w:spacing w:after="120" w:line="259" w:lineRule="auto"/>
      </w:pPr>
      <w:r>
        <w:t>La portada todavía contiene marcadores para el número de FIPI, los nombres de participantes y el nombre del asesor. Esos datos deben completarse por el equipo. La documentación técnica no debe rellenarlos con suposiciones.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Protocolo LSM · revisión basada en evidencia · 03/09/2026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