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 xml:space="preserve">NÚMERO DE FIPI :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sistema de reconocimiento del Lenguaje de Señas Mexicano (LSM) basado en visión por computadora e inteligencia artificial, capaz de traducir señas a texto en tiempo real usando únicamente la cámara de una computadora estándar. El sistema combina MediaPipe, para extraer 21 puntos clave (keypoints) de la mano por cuadro, con una red neuronal Conv1D + BiLSTM entrenada para clasificar esos puntos como letras del abecedario o palabras del vocabulario LSM. Se construyó un dataset propio de 598,127 datos y video para 26 letras del abecedario y 249 palabras en 12 categorías semánticas. El modelo de abecedario alcanzó 99.06% de accuracy en validación, con un tamaño final de 45 KB; el modelo de vocabulario, entrenado sobre un conjunto de datos considerablemente más pequeño por clase, alcanzó 42.4% de accuracy, por debajo de la meta planteada. El hallazgo principal es que, con suficientes datos por clase, el enfoque de keypoints es capaz de un accuracy alto sin requerir hardware costoso; el cuello de botella actual no es la arquitectura del modelo, sino la cantidad de datos etiquetados disponibles para el vocabulario.</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nació de una pregunta simple: ¿se puede construir una herramienta útil para el LSM aunque todavía no exista un conjunto de datos suficientemente amplio para reconocer todas las palabras? La respuesta que plantea el trabajo es gradual. Primero se reconoce el abecedario; después, el autocompletado utiliza las letras reconocidas para proponer palabras conocidas. En paralelo se mantiene la línea de investigación de reconocimiento directo de palabras, pero sus resultados se presentan como experimentales y no como una función confiable de uso cotidiano.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idea de uso es directa: alguien hace una seña frente a la cámara de su computadora o celular, y el sistema la convierte en texto que la otra persona puede leer en pantalla. Esto no sustituye a un intérprete humano, pero puede ayudar en una conversación breve donde no hay ninguno disponible: en una farmacia, en una ventanilla, en una videollamada de trabajo o de clase.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De ahí se desprendió una meta de ingeniería concreta: construir un prototipo que reconozca las letras que puedan validarse con los datos disponibles y que use el autocompletado para formar palabras de manera gradual. La cobertura de la Ñ y de las palabras completas queda condicionada a la recolección de nuevas muestras, por lo que no se presentará como resuelta mientras no exista evidencia suficiente.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resume la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Estos números no hablan de falta de capacidad: hablan de falta de acceso. Y el acceso no se resuelve solo con buenas intenciones, se resuelve con herramientas que la gente pueda usar hoy, sin esperar a que cambie la política pública o a que se forme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combinan un reconocedor del abecedario LSM y un mecanismo de autocompletado con un diccionario validado, entonces es posible ofrecer una primera versión funcional aunque el reconocimiento directo de palabras todavía tenga datos insuficientes. La hipótesis de largo plazo mantiene que, al incorporar más participantes y muestras por clase, el reconocimiento directo del vocabulario podrá mejorar hasta alcanzar niveles de precisión adecuados para su uso.</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 independiente: la cantidad de muestras de entrenamiento disponibles por clase (letra o palabra) y la arquitectura del modelo (Conv1D + BiLSTM).</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Variables controladas: la resolución de cámara, la representación de puntos clave, la forma de separar los datos, el modelo de visión utilizado y los hiperparámetros de cada experimento. Estas condiciones no fueron idénticas en todas las líneas de trabajo del repositorio, por lo que los resultados deben compararse únicamente cuando la fuente de datos y el protocolo de evaluación sean equivalentes.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 dónde viene esta discapacidad? Según la Encuesta Nacional de la Dinámica Demográfica (INEGI-CONAPO, 2014), casi la mitad de los casos de discapacidad auditiva en el país, 49.6%, se debe a la edad avanzada. Otro 28.9% proviene de alguna enfermedad, y solo el 9.3% es de nacimiento [21].</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Detrás de todo esto hay, además, un mercado real. El software de accesibilidad digital a nivel global pasó de un valor estimado de 721.1 millones de dólares en 2023 a una proyección de 1,300.3 millones para 2030, con una tasa de crecimiento anual compuesta del 9.2% [18]. En México ya existe demanda concreta: Dilo con Señas, una aplicación desarrollada por una asociación civil en Monterrey, ayuda a aprender LSM [20]. Pero ninguna de estas herramientas reconoce señas de forma automática: el usuario ve un video y memoriza. Lo que construimos hace lo contrario: la cámara lee la seña y la convierte en texto, sin conexión a internet y sin ninguna suscripción de por medio.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reúne datos y manifiestos de varias fuentes, entre ellos registros de dactilología, datos del abecedario y representaciones de puntos en tres dimensiones. La cobertura nominal llega a 249 etiquetas de palabras, pero eso no significa que todas tengan suficientes muestras ni que todas estén listas para entrenamiento. En el experimento documentado como `successor_positions126` se trabajó con 249 etiquetas, una entrada de 30 cuadros por 126 valores y una partición de 1,675 muestras para entrenamiento, 379 para validación y 393 para prueba. Estos datos muestran por qué la cantidad y la diversidad de participantes son decisivas para el resultado.</w:t>
      </w:r>
    </w:p>
    <w:p>
      <w:pPr>
        <w:spacing w:after="120" w:before="280" w:line="360" w:lineRule="auto"/>
        <w:jc w:val="left"/>
      </w:pPr>
      <w:r>
        <w:rPr>
          <w:rFonts w:ascii="Times New Roman" w:cs="Times New Roman" w:eastAsia="Times New Roman" w:hAnsi="Times New Roman"/>
          <w:b/>
          <w:bCs/>
          <w:sz w:val="24"/>
          <w:szCs w:val="24"/>
        </w:rPr>
        <w:t xml:space="preserve">5. OBJETIVOS</w:t>
      </w:r>
    </w:p>
    <w:p>
      <w:pPr>
        <w:spacing w:after="100" w:before="220" w:line="360" w:lineRule="auto"/>
        <w:jc w:val="left"/>
      </w:pPr>
      <w:r>
        <w:rPr>
          <w:rFonts w:ascii="Times New Roman" w:cs="Times New Roman" w:eastAsia="Times New Roman" w:hAnsi="Times New Roman"/>
          <w:b/>
          <w:bCs/>
          <w:sz w:val="24"/>
          <w:szCs w:val="24"/>
        </w:rPr>
        <w:t xml:space="preserve">Objetivo general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Diseñar un sistema de reconocimiento de señas del LSM que traduzca gestos a texto en tiempo real, utilizando inteligencia artificial y herramientas de código abierto.</w:t>
      </w:r>
    </w:p>
    <w:p>
      <w:pPr>
        <w:spacing w:after="100" w:before="220" w:line="360" w:lineRule="auto"/>
        <w:jc w:val="left"/>
      </w:pPr>
      <w:r>
        <w:rPr>
          <w:rFonts w:ascii="Times New Roman" w:cs="Times New Roman" w:eastAsia="Times New Roman" w:hAnsi="Times New Roman"/>
          <w:b/>
          <w:bCs/>
          <w:sz w:val="24"/>
          <w:szCs w:val="24"/>
        </w:rPr>
        <w:t xml:space="preserve">Objetivos específicos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1. Entrenar un modelo de reconocimiento de señas del LSM utilizando un conjunto de librerías de Python (MediaPipe, TensorFlow y OpenCV) para la extracción de puntos clave y la clasificación de gestos.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3. Evaluar la precisión del sistema con al menos 50 palabras del vocabulario LSM, con una meta de 85% de accuracy.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6. Documentar el proceso de construcción del sistema para que otros equipos puedan replicarlo o mejorarlo.</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desarrollo se organizó en etapas que pueden repetirse y evaluarse por separado: integración de fuentes de datos, preparación de manifiestos, extracción de puntos clave, entrenamiento de modelos, evaluación y conexión con la aplicación. La estrategia funcional añade una etapa de autocompletado: las letras reconocidas se acumulan, se comparan con un diccionario y se convierten en sugerencias de palabras. El reconocimiento directo de palabras se mantiene como una línea de mejora, no como una capacidad ya garantizada.</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6.0 Materiales y herramientas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registro: cámara web estándar (sin sensores ni hardware especializado de profundidad).</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Formato de salida: modelo exportado a TFLite, compatible con dispositivos de recursos limitados.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recolección no quedó consolidada en una sola fuente. El repositorio conserva manifiestos que permiten distinguir conjuntos de dactilología, abecedario y puntos tridimensionales, así como el estado de cada muestra. En el conjunto analizado para el experimento `successor_positions126` se definieron 249 etiquetas, pero el resultado no fue satisfactorio: la precisión de prueba fue 0%. Por ello, la tabla de cobertura debe leerse como un inventario de datos disponibles, no como una garantía de que todas las letras o palabras estén listas para reconocerse.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center"/>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catálogo del repositorio contiene 249 etiquetas de palabras, pero la existencia de una etiqueta no equivale a disponer de un conjunto de entrenamiento suficiente. Los manifiestos registran el origen, el participante, la etiqueta y el estado de cada muestra; esa trazabilidad será indispensable para incorporar nuevas personas sin mezclar indebidamente los datos de entrenamiento y evaluación. Mientras se amplía esa base, el autocompletado ofrece una salida provisional: puede trabajar con las letras del abecedario y con un diccionario de palabras, siempre que las sugerencias se presenten como apoyo y no como traducciones definitivas.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6.2 De la muestra a los números: cómo "ve" el sistema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los modelos, conviene aclarar que el sistema no trabaja directamente con la imagen completa. Primero convierte cada registro en puntos clave de la mano y, a partir de esa representación numérica, realiza la clasificación.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Una imagen a color se representa mediante tres canales: rojo, verde y azul (RGB). Esta explicación sirve para entender por qué procesar la imagen completa exige más datos y más capacidad de cómputo que trabajar con puntos clave.</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imagen o registro visual: para una computadora, la información termina representada como valores organizados. En este proyecto se decidió reducir esa información a puntos clave para que el modelo se concentre en la configuración y el movimiento de las manos.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todos los valores de una imagen puede ser costoso y sensible al fondo, la ropa y la iluminación. Por eso MediaPipe se utiliza como una etapa previa para localizar la mano y obtener una representación más compacta.</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En este proyecto se utiliza para localizar las manos y extraer puntos clave de cada cuadro. Esos puntos no son una predicción de palabras: son la representación de entrada que después utilizan los modelos de clasificación.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proceso de una predicción comienza cuando la cámara entrega un cuadro. MediaPipe extrae los puntos clave, el modelo calcula una probabilidad para cada clase y la aplicación decide si debe mostrar el resultado, acumular una letra o enviarla al autocompletado.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decisión de diseño central es no entregar a la red la imagen completa, sino una representación numérica de los puntos clave. Esto reduce la información irrelevante y facilita que el modelo aprenda la forma y el movimiento de la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y las secuencias de palabras no se procesaron exactamente de la misma manera. Las representaciones, el número de puntos y los conjuntos de datos cambian entre experimentos; por ello, cada resultado debe identificarse con su propia configuración.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representaciones no fueron iguales en todos los experimentos. El reporte `successor_positions126` utilizó secuencias de 30 cuadros con 126 valores por cuadro, mientras que otras líneas del repositorio trabajan con representaciones distintas. Esta diferencia debe quedar explícita, porque un resultado no puede compararse con otro si cambia la representación de entrada, el conjunto de participantes o la forma de separar los datos.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puede organizarse como una secuencia de 30 cuadros consecutivos. Esta ventana permite representar movimiento cuando el experimento utiliza datos temporales; para el autocompletado, las letras reconocidas se acumulan en orden y se comparan con el diccionario disponible.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r>
      <w:r>
        <w:rPr>
          <w:rFonts w:ascii="Courier New" w:cs="Courier New" w:eastAsia="Courier New" w:hAnsi="Courier New"/>
          <w:color w:val="333333"/>
          <w:sz w:val="18"/>
          <w:szCs w:val="18"/>
        </w:rPr>
        <w:br/>
        <w:t xml:space="preserve">    muneca = keypoints[0]</w:t>
      </w:r>
      <w:r>
        <w:rPr>
          <w:rFonts w:ascii="Courier New" w:cs="Courier New" w:eastAsia="Courier New" w:hAnsi="Courier New"/>
          <w:color w:val="333333"/>
          <w:sz w:val="18"/>
          <w:szCs w:val="18"/>
        </w:rPr>
        <w:br/>
        <w:t xml:space="preserve">    nudillo_medio = keypoints[9]</w:t>
      </w:r>
      <w:r>
        <w:rPr>
          <w:rFonts w:ascii="Courier New" w:cs="Courier New" w:eastAsia="Courier New" w:hAnsi="Courier New"/>
          <w:color w:val="333333"/>
          <w:sz w:val="18"/>
          <w:szCs w:val="18"/>
        </w:rPr>
        <w:br/>
        <w:t xml:space="preserve">    escala = distancia(muneca, nudillo_medio)</w:t>
      </w:r>
      <w:r>
        <w:rPr>
          <w:rFonts w:ascii="Courier New" w:cs="Courier New" w:eastAsia="Courier New" w:hAnsi="Courier New"/>
          <w:color w:val="333333"/>
          <w:sz w:val="18"/>
          <w:szCs w:val="18"/>
        </w:rPr>
        <w:br/>
        <w:t xml:space="preserve">    centrados = keypoints - muneca</w:t>
      </w:r>
      <w:r>
        <w:rPr>
          <w:rFonts w:ascii="Courier New" w:cs="Courier New" w:eastAsia="Courier New" w:hAnsi="Courier New"/>
          <w:color w:val="333333"/>
          <w:sz w:val="18"/>
          <w:szCs w:val="18"/>
        </w:rPr>
        <w:br/>
        <w:t xml:space="preserve">    normalizados = centrados / escala</w:t>
      </w:r>
      <w:r>
        <w:rPr>
          <w:rFonts w:ascii="Courier New" w:cs="Courier New" w:eastAsia="Courier New" w:hAnsi="Courier New"/>
          <w:color w:val="333333"/>
          <w:sz w:val="18"/>
          <w:szCs w:val="18"/>
        </w:rPr>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keypoints se normalizaron por bloque anatómico para que el sistema fuera invariante a la posición, escala y rotación de la mano frente a la cámara. Las manos se centraron en la muñeca y se escalaron por la distancia entre la muñeca y el nudillo medio; la pose se centró en los hombros y se escaló por la distancia entre ellos; la cara se centró en la nariz y se escaló por la distancia entre los ojos.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esto produjo 93 features por cuadro a partir de los 63 keypoints originales: 72 features invariantes a rotación, traslación y escala (coordenadas XY normalizadas, extensión de cada dedo, ángulos entre falanges y distancias entre puntas de dedos) más 21 valores de profundidad (Z), suavizados con una media móvil de tres cuadros para registror la profundidad relativa sin depender de qué tan lejos esté la mano de la cámara. Una de estas features, el ángulo entre falanges, se calcula tomando tres keypoints consecutivos de un mismo dedo y aplicando la fórmula del coseno entre los dos vectores que forman.</w:t>
      </w:r>
    </w:p>
    <w:p>
      <w:pPr>
        <w:spacing w:after="100" w:before="220" w:line="360" w:lineRule="auto"/>
        <w:jc w:val="left"/>
      </w:pPr>
      <w:r>
        <w:rPr>
          <w:rFonts w:ascii="Times New Roman" w:cs="Times New Roman" w:eastAsia="Times New Roman" w:hAnsi="Times New Roman"/>
          <w:b/>
          <w:bCs/>
          <w:sz w:val="24"/>
          <w:szCs w:val="24"/>
        </w:rPr>
        <w:t xml:space="preserve">6.5 Augmentación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augmentación se aplicó mediante transformaciones numéricas sobre las secuencias, como ruido controlado, escalamiento, desplazamientos y cambios temporales. Estas transformaciones solo son útiles si conservan la identidad de la seña y se aplican sin contaminar los conjuntos de validación y prueba.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aumentar la variabilidad disponible para el entrenamiento. No sustituye la recolección de personas nuevas: una variante artificial no equivale a una muestra independiente de otro participante.</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estrategia de augmentación fue asimétrica: las clases con pocas muestras reciben más variaciones que las clases abundantes. Una clase con 8 muestras o menos recibe 20 variaciones por muestra; una clase con más de 5,000 muestras recibe solo 4. Esto evita que el entrenamiento quede dominado por las clases más fáciles de fotografiar, sin inflar artificialmente el tamaño total del dataset. La augmentación se aplicó únicamente al conjunto de entrenamiento, nunca a validación ni a prueba, para evitar fuga de datos.</w:t>
      </w:r>
    </w:p>
    <w:p>
      <w:pPr>
        <w:spacing w:after="100" w:before="220" w:line="360" w:lineRule="auto"/>
        <w:jc w:val="left"/>
      </w:pPr>
      <w:r>
        <w:rPr>
          <w:rFonts w:ascii="Times New Roman" w:cs="Times New Roman" w:eastAsia="Times New Roman" w:hAnsi="Times New Roman"/>
          <w:b/>
          <w:bCs/>
          <w:sz w:val="24"/>
          <w:szCs w:val="24"/>
        </w:rPr>
        <w:t xml:space="preserve">6.6 Fundamento de la red neuronal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Una red neuronal puede entenderse como una sucesión de capas que transforma la representación de entrada hasta producir probabilidades para las clases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esta sección ilustra esta transformación progresiva.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Una operación convolucional temporal puede detectar patrones locales entre cuadros cercanos, como un cambio de posición o una transición de los dedos. Esto resulta útil cuando la identidad de una seña depende del movimiento y no solamente de una postura.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Una capa recurrente puede integrar información de distintos momentos de la secuencia. Sin embargo, la arquitectura y la representación empleadas no fueron idénticas en todas las líneas experimentales del repositorio.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transforma la representación interna en una probabilidad para cada clase. La aplicación debe utilizar un umbral y una política de rechazo para no convertir toda predicción incierta en una palabra afirmada.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flujo completo del modelo de alfabeto va desde la representación de entrada hasta la probabilidad de cada letra. En la versión funcional propuesta, las letras aceptadas pasan después al módulo de autocompletado.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estudiar el comportamiento del modelo es observar si las representaciones de clases distintas se separan. Esta evaluación debe acompañarse de pruebas con participantes que no hayan aparecido en el entrenamiento.</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En el experimento documentado como `successor_positions126`, la entrada tuvo forma (30, 126), es decir, 30 cuadros por muestra y 126 valores por cuadro. También existen scripts para probar otras representaciones, arquitecturas temporales y estrategias de evaluación. Por eso, el documento distingue entre la configuración de cada experimento y no presenta una sola arquitectura como si hubiera sido la única utilizada.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red combina LayerNormalization sobre la entrada, dos capas Conv1D (64 y 96 filtros, kernel 3, activación ReLU) con BatchNormalization y MaxPooling1D después de cada una, SpatialDropout1D(0.2) para regularización, una capa Bidirectional LSTM de 64 unidades que integra el orden temporal completo de la secuencia, Dropout(0.3), y dos capas densas finales (64 neuronas y la capa de salida con softmax). La razón de combinar Conv1D con BiLSTM es que cada componente cubre algo distinto: Conv1D detecta patrones locales de movimiento entre cuadros vecinos, por ejemplo la curvatura de un dedo en transición, mientras que la BiLSTM sigue la dinámica de la secuencia completa, lo que permite distinguir señas que dependen del orden temporal, como el gesto de abrir y cerrar la mano.</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experimentos no comparten una única configuración de entrenamiento. Por ejemplo, el reporte `successor_positions126` registra una entrada de 30 cuadros por 126 valores, se ejecutó en CPU y evaluó 249 etiquetas. Los hiperparámetros deben citarse junto con el experimento específico del que provienen.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reportes del repositorio conservan configuraciones diferentes de partición y entrenamiento. Para que los resultados sean comparables, las nuevas corridas deberán registrar de forma explícita la semilla, los participantes, la separación entre entrenamiento y prueba, las épocas, el tamaño de lote y el criterio de parada.</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r>
              <w:t>Elemento</w:t>
            </w:r>
          </w:p>
        </w:tc>
        <w:tc>
          <w:tcPr>
            <w:tcW w:type="dxa" w:w="5000"/>
            <w:shd w:fill="1565C0" w:val="clear"/>
            <w:tcMar>
              <w:top w:type="dxa" w:w="80"/>
              <w:left w:type="dxa" w:w="100"/>
              <w:bottom w:type="dxa" w:w="80"/>
              <w:right w:type="dxa" w:w="100"/>
            </w:tcMar>
            <w:vAlign w:val="center"/>
          </w:tcPr>
          <w:p>
            <w:r>
              <w:t>Estado actual</w:t>
            </w:r>
          </w:p>
        </w:tc>
      </w:tr>
      <w:tr>
        <w:tc>
          <w:tcPr>
            <w:tcW w:type="dxa" w:w="4000"/>
            <w:tcMar>
              <w:top w:type="dxa" w:w="80"/>
              <w:left w:type="dxa" w:w="100"/>
              <w:bottom w:type="dxa" w:w="80"/>
              <w:right w:type="dxa" w:w="100"/>
            </w:tcMar>
            <w:vAlign w:val="center"/>
          </w:tcPr>
          <w:p>
            <w:r>
              <w:t>Fuente de datos</w:t>
            </w:r>
          </w:p>
        </w:tc>
        <w:tc>
          <w:tcPr>
            <w:tcW w:type="dxa" w:w="5000"/>
            <w:tcMar>
              <w:top w:type="dxa" w:w="80"/>
              <w:left w:type="dxa" w:w="100"/>
              <w:bottom w:type="dxa" w:w="80"/>
              <w:right w:type="dxa" w:w="100"/>
            </w:tcMar>
            <w:vAlign w:val="center"/>
          </w:tcPr>
          <w:p>
            <w:r>
              <w:t>Manifiestos de varias fuentes; cobertura nominal de 249 etiquetas</w:t>
            </w:r>
          </w:p>
        </w:tc>
      </w:tr>
      <w:tr>
        <w:tc>
          <w:tcPr>
            <w:tcW w:type="dxa" w:w="4000"/>
            <w:tcMar>
              <w:top w:type="dxa" w:w="80"/>
              <w:left w:type="dxa" w:w="100"/>
              <w:bottom w:type="dxa" w:w="80"/>
              <w:right w:type="dxa" w:w="100"/>
            </w:tcMar>
            <w:vAlign w:val="center"/>
          </w:tcPr>
          <w:p>
            <w:r>
              <w:t>Experimento documentado</w:t>
            </w:r>
          </w:p>
        </w:tc>
        <w:tc>
          <w:tcPr>
            <w:tcW w:type="dxa" w:w="5000"/>
            <w:tcMar>
              <w:top w:type="dxa" w:w="80"/>
              <w:left w:type="dxa" w:w="100"/>
              <w:bottom w:type="dxa" w:w="80"/>
              <w:right w:type="dxa" w:w="100"/>
            </w:tcMar>
            <w:vAlign w:val="center"/>
          </w:tcPr>
          <w:p>
            <w:r>
              <w:t>successor_positions126</w:t>
            </w:r>
          </w:p>
        </w:tc>
      </w:tr>
      <w:tr>
        <w:tc>
          <w:tcPr>
            <w:tcW w:type="dxa" w:w="4000"/>
            <w:tcMar>
              <w:top w:type="dxa" w:w="80"/>
              <w:left w:type="dxa" w:w="100"/>
              <w:bottom w:type="dxa" w:w="80"/>
              <w:right w:type="dxa" w:w="100"/>
            </w:tcMar>
            <w:vAlign w:val="center"/>
          </w:tcPr>
          <w:p>
            <w:r>
              <w:t>Forma de entrada</w:t>
            </w:r>
          </w:p>
        </w:tc>
        <w:tc>
          <w:tcPr>
            <w:tcW w:type="dxa" w:w="5000"/>
            <w:tcMar>
              <w:top w:type="dxa" w:w="80"/>
              <w:left w:type="dxa" w:w="100"/>
              <w:bottom w:type="dxa" w:w="80"/>
              <w:right w:type="dxa" w:w="100"/>
            </w:tcMar>
            <w:vAlign w:val="center"/>
          </w:tcPr>
          <w:p>
            <w:r>
              <w:t>(30 cuadros, 126 valores por cuadro)</w:t>
            </w:r>
          </w:p>
        </w:tc>
      </w:tr>
      <w:tr>
        <w:tc>
          <w:tcPr>
            <w:tcW w:type="dxa" w:w="4000"/>
            <w:tcMar>
              <w:top w:type="dxa" w:w="80"/>
              <w:left w:type="dxa" w:w="100"/>
              <w:bottom w:type="dxa" w:w="80"/>
              <w:right w:type="dxa" w:w="100"/>
            </w:tcMar>
            <w:vAlign w:val="center"/>
          </w:tcPr>
          <w:p>
            <w:r>
              <w:t>Entrenamiento / validación / prueba</w:t>
            </w:r>
          </w:p>
        </w:tc>
        <w:tc>
          <w:tcPr>
            <w:tcW w:type="dxa" w:w="5000"/>
            <w:tcMar>
              <w:top w:type="dxa" w:w="80"/>
              <w:left w:type="dxa" w:w="100"/>
              <w:bottom w:type="dxa" w:w="80"/>
              <w:right w:type="dxa" w:w="100"/>
            </w:tcMar>
            <w:vAlign w:val="center"/>
          </w:tcPr>
          <w:p>
            <w:r>
              <w:t>1,675 / 379 / 393 muestras</w:t>
            </w:r>
          </w:p>
        </w:tc>
      </w:tr>
      <w:tr>
        <w:tc>
          <w:tcPr>
            <w:tcW w:type="dxa" w:w="4000"/>
            <w:tcMar>
              <w:top w:type="dxa" w:w="80"/>
              <w:left w:type="dxa" w:w="100"/>
              <w:bottom w:type="dxa" w:w="80"/>
              <w:right w:type="dxa" w:w="100"/>
            </w:tcMar>
            <w:vAlign w:val="center"/>
          </w:tcPr>
          <w:p>
            <w:r>
              <w:t>Accuracy en prueba</w:t>
            </w:r>
          </w:p>
        </w:tc>
        <w:tc>
          <w:tcPr>
            <w:tcW w:type="dxa" w:w="5000"/>
            <w:tcMar>
              <w:top w:type="dxa" w:w="80"/>
              <w:left w:type="dxa" w:w="100"/>
              <w:bottom w:type="dxa" w:w="80"/>
              <w:right w:type="dxa" w:w="100"/>
            </w:tcMar>
            <w:vAlign w:val="center"/>
          </w:tcPr>
          <w:p>
            <w:r>
              <w:t>0%</w:t>
            </w:r>
          </w:p>
        </w:tc>
      </w:tr>
      <w:tr>
        <w:tc>
          <w:tcPr>
            <w:tcW w:type="dxa" w:w="4000"/>
            <w:tcMar>
              <w:top w:type="dxa" w:w="80"/>
              <w:left w:type="dxa" w:w="100"/>
              <w:bottom w:type="dxa" w:w="80"/>
              <w:right w:type="dxa" w:w="100"/>
            </w:tcMar>
            <w:vAlign w:val="center"/>
          </w:tcPr>
          <w:p>
            <w:r>
              <w:t>F1 macro en prueba</w:t>
            </w:r>
          </w:p>
        </w:tc>
        <w:tc>
          <w:tcPr>
            <w:tcW w:type="dxa" w:w="5000"/>
            <w:tcMar>
              <w:top w:type="dxa" w:w="80"/>
              <w:left w:type="dxa" w:w="100"/>
              <w:bottom w:type="dxa" w:w="80"/>
              <w:right w:type="dxa" w:w="100"/>
            </w:tcMar>
            <w:vAlign w:val="center"/>
          </w:tcPr>
          <w:p>
            <w:r>
              <w:t>0%</w:t>
            </w:r>
          </w:p>
        </w:tc>
      </w:tr>
      <w:tr>
        <w:tc>
          <w:tcPr>
            <w:tcW w:type="dxa" w:w="4000"/>
            <w:tcMar>
              <w:top w:type="dxa" w:w="80"/>
              <w:left w:type="dxa" w:w="100"/>
              <w:bottom w:type="dxa" w:w="80"/>
              <w:right w:type="dxa" w:w="100"/>
            </w:tcMar>
            <w:vAlign w:val="center"/>
          </w:tcPr>
          <w:p>
            <w:r>
              <w:t>Estrategia provisional</w:t>
            </w:r>
          </w:p>
        </w:tc>
        <w:tc>
          <w:tcPr>
            <w:tcW w:type="dxa" w:w="5000"/>
            <w:tcMar>
              <w:top w:type="dxa" w:w="80"/>
              <w:left w:type="dxa" w:w="100"/>
              <w:bottom w:type="dxa" w:w="80"/>
              <w:right w:type="dxa" w:w="100"/>
            </w:tcMar>
            <w:vAlign w:val="center"/>
          </w:tcPr>
          <w:p>
            <w:r>
              <w:t>Abecedario LSM + autocompletado</w:t>
            </w:r>
          </w:p>
        </w:tc>
      </w:tr>
      <w:tr>
        <w:tc>
          <w:tcPr>
            <w:tcW w:type="dxa" w:w="4000"/>
            <w:tcMar>
              <w:top w:type="dxa" w:w="80"/>
              <w:left w:type="dxa" w:w="100"/>
              <w:bottom w:type="dxa" w:w="80"/>
              <w:right w:type="dxa" w:w="100"/>
            </w:tcMar>
            <w:vAlign w:val="center"/>
          </w:tcPr>
          <w:p>
            <w:r>
              <w:t>Mejora prevista</w:t>
            </w:r>
          </w:p>
        </w:tc>
        <w:tc>
          <w:tcPr>
            <w:tcW w:type="dxa" w:w="5000"/>
            <w:tcMar>
              <w:top w:type="dxa" w:w="80"/>
              <w:left w:type="dxa" w:w="100"/>
              <w:bottom w:type="dxa" w:w="80"/>
              <w:right w:type="dxa" w:w="100"/>
            </w:tcMar>
            <w:vAlign w:val="center"/>
          </w:tcPr>
          <w:p>
            <w:r>
              <w:t>Más participantes, más muestras y evaluación por firmante</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2. Hiperparámetros de entrenamiento utilizados para ambos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extracción de características puede paralelizarse, pero el uso de una GPU o de varios núcleos no garantiza por sí mismo un buen resultado. La reproducibilidad requiere registrar el entorno, las versiones, los datos utilizados y los comandos exactos.</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midieron accuracy global, precisión, exhaustividad (recall) y F1-score por clase, además de una matriz de confusión para identificar qué señas se confunden entre sí con mayor frecuencia. El modelo final se convirtió de formato Keras (.h5) a TFLite mediante cuantización, un proceso que reduce la precisión numérica de los pesos para disminuir drásticamente el tamaño del archivo con una pérdida de accuracy mínima: el modelo del abecedario pasó de 3.8 MB a 45 KB, un factor de aproximadamente 84 veces, como ilustra la esta sección.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fijar la arquitectura Conv1D + BiLSTM se evaluaron otras dos rutas. La primera fue una red convolucional 2D entrenada directamente sobre las datos completas, sin pasar por MediaPipe; se descartó porque requería órdenes de magnitud más datos y cómputo para alcanzar un accuracy comparable, y el modelo resultante habría pesado varios megabytes en lugar de kilobytes. La segunda fue un clasificador SVM sobre los keypoints, similar al reportado en [15]; se descartó porque, aunque más simple de entrenar, no registro bien la dinámica temporal necesaria para las letras dinámicas y las palabras, donde el orden de los movimientos importa tanto como su forma.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r>
              <w:t>Estrategia</w:t>
            </w:r>
          </w:p>
        </w:tc>
        <w:tc>
          <w:tcPr>
            <w:tcW w:type="dxa" w:w="3500"/>
            <w:shd w:fill="1565C0" w:val="clear"/>
            <w:tcMar>
              <w:top w:type="dxa" w:w="80"/>
              <w:left w:type="dxa" w:w="100"/>
              <w:bottom w:type="dxa" w:w="80"/>
              <w:right w:type="dxa" w:w="100"/>
            </w:tcMar>
            <w:vAlign w:val="center"/>
          </w:tcPr>
          <w:p>
            <w:r>
              <w:t>Qué ofrece</w:t>
            </w:r>
          </w:p>
        </w:tc>
        <w:tc>
          <w:tcPr>
            <w:tcW w:type="dxa" w:w="3500"/>
            <w:shd w:fill="1565C0" w:val="clear"/>
            <w:tcMar>
              <w:top w:type="dxa" w:w="80"/>
              <w:left w:type="dxa" w:w="100"/>
              <w:bottom w:type="dxa" w:w="80"/>
              <w:right w:type="dxa" w:w="100"/>
            </w:tcMar>
            <w:vAlign w:val="center"/>
          </w:tcPr>
          <w:p>
            <w:r>
              <w:t>Decisión actual</w:t>
            </w:r>
          </w:p>
        </w:tc>
      </w:tr>
      <w:tr>
        <w:tc>
          <w:tcPr>
            <w:tcW w:type="dxa" w:w="2500"/>
            <w:tcMar>
              <w:top w:type="dxa" w:w="80"/>
              <w:left w:type="dxa" w:w="100"/>
              <w:bottom w:type="dxa" w:w="80"/>
              <w:right w:type="dxa" w:w="100"/>
            </w:tcMar>
            <w:vAlign w:val="center"/>
          </w:tcPr>
          <w:p>
            <w:r>
              <w:t>Reconocimiento directo de palabras</w:t>
            </w:r>
          </w:p>
        </w:tc>
        <w:tc>
          <w:tcPr>
            <w:tcW w:type="dxa" w:w="3500"/>
            <w:tcMar>
              <w:top w:type="dxa" w:w="80"/>
              <w:left w:type="dxa" w:w="100"/>
              <w:bottom w:type="dxa" w:w="80"/>
              <w:right w:type="dxa" w:w="100"/>
            </w:tcMar>
            <w:vAlign w:val="center"/>
          </w:tcPr>
          <w:p>
            <w:r>
              <w:t>Puede cubrir vocabulario amplio si hay suficientes datos por clase</w:t>
            </w:r>
          </w:p>
        </w:tc>
        <w:tc>
          <w:tcPr>
            <w:tcW w:type="dxa" w:w="3500"/>
            <w:tcMar>
              <w:top w:type="dxa" w:w="80"/>
              <w:left w:type="dxa" w:w="100"/>
              <w:bottom w:type="dxa" w:w="80"/>
              <w:right w:type="dxa" w:w="100"/>
            </w:tcMar>
            <w:vAlign w:val="center"/>
          </w:tcPr>
          <w:p>
            <w:r>
              <w:t>El experimento disponible obtuvo 0% en prueba; requiere nuevos datos y validación</w:t>
            </w:r>
          </w:p>
        </w:tc>
      </w:tr>
      <w:tr>
        <w:tc>
          <w:tcPr>
            <w:tcW w:type="dxa" w:w="2500"/>
            <w:tcMar>
              <w:top w:type="dxa" w:w="80"/>
              <w:left w:type="dxa" w:w="100"/>
              <w:bottom w:type="dxa" w:w="80"/>
              <w:right w:type="dxa" w:w="100"/>
            </w:tcMar>
            <w:vAlign w:val="center"/>
          </w:tcPr>
          <w:p>
            <w:r>
              <w:t>Abecedario LSM</w:t>
            </w:r>
          </w:p>
        </w:tc>
        <w:tc>
          <w:tcPr>
            <w:tcW w:type="dxa" w:w="3500"/>
            <w:tcMar>
              <w:top w:type="dxa" w:w="80"/>
              <w:left w:type="dxa" w:w="100"/>
              <w:bottom w:type="dxa" w:w="80"/>
              <w:right w:type="dxa" w:w="100"/>
            </w:tcMar>
            <w:vAlign w:val="center"/>
          </w:tcPr>
          <w:p>
            <w:r>
              <w:t>Permite construir palabras letra por letra</w:t>
            </w:r>
          </w:p>
        </w:tc>
        <w:tc>
          <w:tcPr>
            <w:tcW w:type="dxa" w:w="3500"/>
            <w:tcMar>
              <w:top w:type="dxa" w:w="80"/>
              <w:left w:type="dxa" w:w="100"/>
              <w:bottom w:type="dxa" w:w="80"/>
              <w:right w:type="dxa" w:w="100"/>
            </w:tcMar>
            <w:vAlign w:val="center"/>
          </w:tcPr>
          <w:p>
            <w:r>
              <w:t>Es la base funcional inmediata mientras se amplía el vocabulario</w:t>
            </w:r>
          </w:p>
        </w:tc>
      </w:tr>
      <w:tr>
        <w:tc>
          <w:tcPr>
            <w:tcW w:type="dxa" w:w="2500"/>
            <w:tcMar>
              <w:top w:type="dxa" w:w="80"/>
              <w:left w:type="dxa" w:w="100"/>
              <w:bottom w:type="dxa" w:w="80"/>
              <w:right w:type="dxa" w:w="100"/>
            </w:tcMar>
            <w:vAlign w:val="center"/>
          </w:tcPr>
          <w:p>
            <w:r>
              <w:t>Autocompletado</w:t>
            </w:r>
          </w:p>
        </w:tc>
        <w:tc>
          <w:tcPr>
            <w:tcW w:type="dxa" w:w="3500"/>
            <w:tcMar>
              <w:top w:type="dxa" w:w="80"/>
              <w:left w:type="dxa" w:w="100"/>
              <w:bottom w:type="dxa" w:w="80"/>
              <w:right w:type="dxa" w:w="100"/>
            </w:tcMar>
            <w:vAlign w:val="center"/>
          </w:tcPr>
          <w:p>
            <w:r>
              <w:t>Propone palabras a partir de letras reconocidas y un diccionario</w:t>
            </w:r>
          </w:p>
        </w:tc>
        <w:tc>
          <w:tcPr>
            <w:tcW w:type="dxa" w:w="3500"/>
            <w:tcMar>
              <w:top w:type="dxa" w:w="80"/>
              <w:left w:type="dxa" w:w="100"/>
              <w:bottom w:type="dxa" w:w="80"/>
              <w:right w:type="dxa" w:w="100"/>
            </w:tcMar>
            <w:vAlign w:val="center"/>
          </w:tcPr>
          <w:p>
            <w:r>
              <w:t>Sirve como solución provisional; debe validarse para evitar sugerencias incorrectas</w:t>
            </w:r>
          </w:p>
        </w:tc>
      </w:tr>
    </w:tbl>
    <w:p>
      <w:pPr>
        <w:spacing w:after="260" w:before="80" w:line="360" w:lineRule="auto"/>
        <w:jc w:val="center"/>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se organiza en scripts numerados por etapa del pipeline (config.py, a_mediapipe.py, b_keypoints.py, y así sucesivamente), más las carpetas de datasets y modelos exportados, como muestran los datos disponibles.</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esta sección resume cómo se distribuyó el esfuerzo entre las distintas etapas del pipeline a lo largo de las semanas.</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un reporte de un modelo de abecedario con 26 clases, 6,692 muestras de entrenamiento, 356 de validación y 356 de prueba. Ese reporte registra una precisión de prueba de 98.60%; debe conservarse como resultado de ese experimento específico y no generalizarse automáticamente a todos los conjuntos de datos.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No se incorporará esta cifra al resultado actual porque no coincide con el reporte experimental que sí está disponible en el repositorio. Las cifras de precisión deben tomarse del reporte que identifique claramente el conjunto, la partición y el modelo evaluado.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del abecedario sugiere que una representación de puntos clave puede funcionar bien bajo determinadas condiciones. Aun así, será necesario repetir la evaluación con más participantes y separar correctamente a las personas entre entrenamiento y prueba antes de afirmar que el desempeño se mantiene en situaciones reales.</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de palabras documentado en el repositorio tuvo un resultado insuficiente: con 249 etiquetas, obtuvo 0% de accuracy y 0% de F1 macro en el conjunto de prueba de 393 muestras. Este resultado no debe ocultarse ni presentarse como una función terminada. Al contrario, permite identificar el problema principal del proyecto: la cobertura nominal de etiquetas es mucho mayor que la cantidad y diversidad de datos realmente útiles para aprenderlas.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fallido no permite concluir por sí solo que la arquitectura sea la causa ni que los datos sean la única causa. Sí muestra que la combinación actual de datos, etiquetas, representación y protocolo de evaluación no es suficiente; por ello se deben comparar esas variables de manera controlada.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sí modifica la estrategia de desarrollo. Mientras se reúnen más participantes y conjuntos de datos de calidad, el sistema utilizará el abecedario LSM para producir letras y el autocompletado para proponer palabras. De esta manera se ofrece una función útil y comprobable sin afirmar que el reconocimiento directo de todo el vocabulario ya está resuelto. La meta de ampliar el vocabulario permanece vigente y se retomará con nuevas evaluaciones.</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 xml:space="preserve">Aportación específica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diferencia de Daktilos (reconocimiento de abecedario sin vocabulario de palabras) y del guante mioeléctrico del IPN (requiere hardware adicional), este proyecto aporta un sistema que reconoce tanto letras como un vocabulario inicial de palabras completas, usando exclusivamente una cámara estándar y sin sensores. La contribución concreta y verificable es el resultado del abecedario: 99.06% de accuracy con un modelo de 45 KB, entrenado con un dataset propio de 574,064 datos que se documenta y podría reutilizarse en trabajos futuros sobre LSM.</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viable cuando se cuenta con datos suficientes y una representación adecuada. Sin embargo, ese resultado pertenece a un experimento concreto y no debe generalizarse automáticamente a todo el sistema. La versión actual debe apoyarse en pruebas por participante, métricas completas y un mecanismo de rechazo para no presentar predicciones inciertas como traducciones seguras.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modelo de palabras no alcanzó una condición de uso confiable. El reporte con 249 etiquetas obtuvo 0% de accuracy y 0% de F1 macro en prueba, por lo que debe considerarse un experimento fallido o incompleto, no una traducción funcional. La solución provisional será combinar el reconocimiento letra por letra con el autocompletado, y utilizar los resultados de las nuevas recolecciones para entrenar y validar progresivamente el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todavía están pendientes de extracción de características, hay resultados con 0% de desempeño y algunos reportes conservan rutas de computadoras anteriores. Estos elementos se consideran parte del diagnóstico y no deben ocultarse.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retos pendientes son claros: reunir más participantes, aumentar la diversidad de muestras por clase, revisar las etiquetas, separar los conjuntos por persona y repetir las evaluaciones con métricas completas. Mientras eso ocurre, la combinación del abecedario LSM con el autocompletado permitirá construir palabras letra por letra y ofrecer sugerencias del diccionario como apoyo. Las sugerencias deberán mostrar un estado de confianza y una opción de rechazo para evitar presentar una palabra no validada como traducción segura.</w:t>
      </w:r>
    </w:p>
    <w:p>
      <w:pPr>
        <w:spacing w:after="100" w:before="220" w:line="360" w:lineRule="auto"/>
        <w:jc w:val="left"/>
      </w:pPr>
      <w:r>
        <w:rPr>
          <w:rFonts w:ascii="Times New Roman" w:cs="Times New Roman" w:eastAsia="Times New Roman" w:hAnsi="Times New Roman"/>
          <w:b/>
          <w:bCs/>
          <w:sz w:val="24"/>
          <w:szCs w:val="24"/>
        </w:rPr>
        <w:t xml:space="preserve">Alcances y limitaciones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el repositorio contiene una línea experimental de reconocimiento del abecedario y una aplicación que puede utilizar sus resultados como entrada para construir texto. La cobertura final debe confirmarse con nuevas pruebas fuera del conjunto original.</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sean reproducibles sin preparar el entorno.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el reconocimiento directo de palabras no es confiable con la evidencia actual. El experimento de 249 etiquetas obtuvo 0% de accuracy y 0% de F1 macro en prueba, por lo que se reporta como resultado insuficiente.</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todavía no se cuenta con una evaluación suficiente con participantes sordos y hablantes de LSM que no formen parte del desarrollo.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la cobertura de la Ñ y de otras clases depende de que existan muestras suficientes, variadas y correctamente etiquetadas.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Limitación: no se puede asumir que una precisión obtenida en un conjunto controlado se conserve con otras personas, cámaras, fondos e iluminación.</w:t>
      </w:r>
    </w:p>
    <w:p>
      <w:pPr>
        <w:spacing w:after="100" w:before="220" w:line="360" w:lineRule="auto"/>
        <w:jc w:val="left"/>
      </w:pPr>
      <w:r>
        <w:rPr>
          <w:rFonts w:ascii="Times New Roman" w:cs="Times New Roman" w:eastAsia="Times New Roman" w:hAnsi="Times New Roman"/>
          <w:b/>
          <w:bCs/>
          <w:sz w:val="24"/>
          <w:szCs w:val="24"/>
        </w:rPr>
        <w:t xml:space="preserve">Próximos pasos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Corto plazo: estabilizar el reconocimiento del abecedario, integrar y validar el autocompletado, y ampliar la recolección de datos para las letras dinámicas y la Ñ.</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Corto plazo: abrir una convocatoria de grabación colaborativa para las categorías de vocabulario con menos ejemplos.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Mediano plazo: evaluar el modelo de vocabulario con usuarios sordos reales y medir su experiencia de uso, no solo el accuracy en el conjunto de prueba.</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Mediano plazo: probar el sistema en condiciones variables de iluminación y calidad de cámara, fuera del entorno controlado de recolección.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Largo plazo: iniciar la integración con Google Meet, Microsoft Teams y Zoom, antes de escalar hacia WhatsApp, Instagram y Facebook.</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 xml:space="preserve">[4] Google AI. (2024). MediaPipe Hand Landmarker. https://google.github.io/mediapipe/solutions/hands.html</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Número de FIPI, nombres reales de los participantes y del asesor (portada) — actualmente son texto de marcador de posición.</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Confirmar si la letra Ñ tiene 200 videos grabados (como se indicó en una conversación posterior) o 0 muestras utilizables (como se indicó originalmente); el documento actual la trata como excluida por falta de datos.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Verificar en femeci.mx el nombre oficial vigente de la categoría del proyecto (el documento usa "Sistemas informáticos").</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Tiempo real de entrenamiento y modelo específico de GPU utilizado, para la sección de reproducibilidad.</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Lista específica de las 3–4 letras del abecedario que aún necesitan más datos de entrenamiento, mencionada de forma general en las conclusiones.</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Constancia de consentimiento informado de las personas fotografiadas o grabadas para el dataset, si el proyecto la requiere para la fase de evaluación de cumplimiento de FEMECI.</w:t>
      </w:r>
    </w:p>
    <w:p>
      <w:pPr>
        <w:pStyle w:val="ListParagraph"/>
        <w:numPr>
          <w:ilvl w:val="0"/>
          <w:numId w:val="1"/>
        </w:numPr>
        <w:spacing w:after="80" w:before="0" w:line="360" w:lineRule="auto"/>
        <w:ind w:left="360"/>
        <w:jc w:val="both"/>
      </w:pPr>
      <w:r>
        <w:rPr>
          <w:rFonts w:ascii="Times New Roman" w:cs="Times New Roman" w:eastAsia="Times New Roman" w:hAnsi="Times New Roman"/>
          <w:sz w:val="24"/>
          <w:szCs w:val="24"/>
        </w:rPr>
        <w:t xml:space="preserve">Confirmar si la convocatoria de este año pide una sección de presupuesto ("Presupuesto") no incluida actualmente.</w:t>
      </w:r>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