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line="360" w:lineRule="auto"/>
        <w:jc w:val="center"/>
      </w:pPr>
      <w:r>
        <w:rPr>
          <w:rFonts w:ascii="Times New Roman" w:cs="Times New Roman" w:eastAsia="Times New Roman" w:hAnsi="Times New Roman"/>
          <w:b/>
          <w:bCs/>
          <w:sz w:val="28"/>
          <w:szCs w:val="28"/>
        </w:rPr>
        <w:t xml:space="preserve">FERIA MEXICANA DE CIENCIAS E INGENIERÍAS</w:t>
      </w:r>
    </w:p>
    <w:p>
      <w:pPr>
        <w:spacing w:after="0" w:before="120" w:line="360" w:lineRule="auto"/>
        <w:jc w:val="center"/>
      </w:pPr>
      <w:r>
        <w:rPr>
          <w:rFonts w:ascii="Times New Roman" w:cs="Times New Roman" w:eastAsia="Times New Roman" w:hAnsi="Times New Roman"/>
          <w:b/>
          <w:bCs/>
          <w:sz w:val="26"/>
          <w:szCs w:val="26"/>
        </w:rPr>
        <w:t xml:space="preserve">Reconocimiento del Lenguaje de Señas Mexicano mediante Inteligencia Artificial</w:t>
      </w:r>
    </w:p>
    <w:p>
      <w:pPr>
        <w:spacing w:after="0" w:before="800" w:line="360" w:lineRule="auto"/>
        <w:jc w:val="center"/>
      </w:pPr>
      <w:r>
        <w:rPr>
          <w:rFonts w:ascii="Times New Roman" w:cs="Times New Roman" w:eastAsia="Times New Roman" w:hAnsi="Times New Roman"/>
          <w:b w:val="false"/>
          <w:bCs w:val="false"/>
          <w:sz w:val="24"/>
          <w:szCs w:val="24"/>
        </w:rPr>
        <w:t>NÚMERO DE FIPI: COA-SI-XXXX</w:t>
      </w:r>
    </w:p>
    <w:p>
      <w:pPr>
        <w:spacing w:after="0" w:before="800" w:line="360" w:lineRule="auto"/>
        <w:jc w:val="center"/>
      </w:pPr>
      <w:r>
        <w:rPr>
          <w:rFonts w:ascii="Times New Roman" w:cs="Times New Roman" w:eastAsia="Times New Roman" w:hAnsi="Times New Roman"/>
          <w:b/>
          <w:bCs/>
          <w:sz w:val="24"/>
          <w:szCs w:val="24"/>
        </w:rPr>
        <w:t xml:space="preserve">Tipo de proyecto: Tecnológico</w:t>
      </w:r>
    </w:p>
    <w:p>
      <w:pPr>
        <w:spacing w:after="0" w:before="120" w:line="360" w:lineRule="auto"/>
        <w:jc w:val="center"/>
      </w:pPr>
      <w:r>
        <w:rPr>
          <w:rFonts w:ascii="Times New Roman" w:cs="Times New Roman" w:eastAsia="Times New Roman" w:hAnsi="Times New Roman"/>
          <w:b/>
          <w:bCs/>
          <w:sz w:val="24"/>
          <w:szCs w:val="24"/>
        </w:rPr>
        <w:t xml:space="preserve">Nivel educativo: Educación media superior (preparatoria)</w:t>
      </w:r>
    </w:p>
    <w:p>
      <w:pPr>
        <w:spacing w:after="0" w:before="120" w:line="360" w:lineRule="auto"/>
        <w:jc w:val="center"/>
      </w:pPr>
      <w:r>
        <w:rPr>
          <w:rFonts w:ascii="Times New Roman" w:cs="Times New Roman" w:eastAsia="Times New Roman" w:hAnsi="Times New Roman"/>
          <w:b/>
          <w:bCs/>
          <w:sz w:val="24"/>
          <w:szCs w:val="24"/>
        </w:rPr>
        <w:t xml:space="preserve">Categoría: Sistemas informáticos</w:t>
      </w:r>
    </w:p>
    <w:p>
      <w:pPr>
        <w:spacing w:after="0" w:before="120" w:line="360" w:lineRule="auto"/>
        <w:jc w:val="center"/>
      </w:pPr>
      <w:r>
        <w:rPr>
          <w:rFonts w:ascii="Times New Roman" w:cs="Times New Roman" w:eastAsia="Times New Roman" w:hAnsi="Times New Roman"/>
          <w:b/>
          <w:bCs/>
          <w:sz w:val="24"/>
          <w:szCs w:val="24"/>
        </w:rPr>
        <w:t xml:space="preserve">Institución: CECyTEC Sol de Oriente</w:t>
      </w:r>
    </w:p>
    <w:p>
      <w:pPr>
        <w:spacing w:after="0" w:before="1000" w:line="360" w:lineRule="auto"/>
        <w:jc w:val="center"/>
      </w:pPr>
      <w:r>
        <w:rPr>
          <w:rFonts w:ascii="Times New Roman" w:cs="Times New Roman" w:eastAsia="Times New Roman" w:hAnsi="Times New Roman"/>
          <w:b/>
          <w:bCs/>
          <w:sz w:val="24"/>
          <w:szCs w:val="24"/>
        </w:rPr>
        <w:t xml:space="preserve">Nombre de los participantes:</w:t>
      </w:r>
    </w:p>
    <w:p>
      <w:pPr>
        <w:spacing w:after="0" w:before="120" w:line="360" w:lineRule="auto"/>
        <w:jc w:val="center"/>
      </w:pPr>
      <w:r>
        <w:rPr>
          <w:rFonts w:ascii="Times New Roman" w:cs="Times New Roman" w:eastAsia="Times New Roman" w:hAnsi="Times New Roman"/>
          <w:b w:val="false"/>
          <w:bCs w:val="false"/>
          <w:sz w:val="24"/>
          <w:szCs w:val="24"/>
        </w:rPr>
        <w:t xml:space="preserve">[Nombre del participante 1]</w:t>
      </w:r>
    </w:p>
    <w:p>
      <w:pPr>
        <w:spacing w:after="0" w:before="120" w:line="360" w:lineRule="auto"/>
        <w:jc w:val="center"/>
      </w:pPr>
      <w:r>
        <w:rPr>
          <w:rFonts w:ascii="Times New Roman" w:cs="Times New Roman" w:eastAsia="Times New Roman" w:hAnsi="Times New Roman"/>
          <w:b w:val="false"/>
          <w:bCs w:val="false"/>
          <w:sz w:val="24"/>
          <w:szCs w:val="24"/>
        </w:rPr>
        <w:t xml:space="preserve">[Nombre del participante 2]</w:t>
      </w:r>
    </w:p>
    <w:p>
      <w:pPr>
        <w:spacing w:after="0" w:before="120" w:line="360" w:lineRule="auto"/>
        <w:jc w:val="center"/>
      </w:pPr>
      <w:r>
        <w:rPr>
          <w:rFonts w:ascii="Times New Roman" w:cs="Times New Roman" w:eastAsia="Times New Roman" w:hAnsi="Times New Roman"/>
          <w:b w:val="false"/>
          <w:bCs w:val="false"/>
          <w:sz w:val="24"/>
          <w:szCs w:val="24"/>
        </w:rPr>
        <w:t xml:space="preserve">[Nombre del participante 3]</w:t>
      </w:r>
    </w:p>
    <w:p>
      <w:pPr>
        <w:spacing w:after="0" w:before="600" w:line="360" w:lineRule="auto"/>
        <w:jc w:val="center"/>
      </w:pPr>
      <w:r>
        <w:rPr>
          <w:rFonts w:ascii="Times New Roman" w:cs="Times New Roman" w:eastAsia="Times New Roman" w:hAnsi="Times New Roman"/>
          <w:b/>
          <w:bCs/>
          <w:sz w:val="24"/>
          <w:szCs w:val="24"/>
        </w:rPr>
        <w:t xml:space="preserve">Nombre del asesor:</w:t>
      </w:r>
    </w:p>
    <w:p>
      <w:pPr>
        <w:spacing w:after="0" w:before="120" w:line="360" w:lineRule="auto"/>
        <w:jc w:val="center"/>
      </w:pPr>
      <w:r>
        <w:rPr>
          <w:rFonts w:ascii="Times New Roman" w:cs="Times New Roman" w:eastAsia="Times New Roman" w:hAnsi="Times New Roman"/>
          <w:b w:val="false"/>
          <w:bCs w:val="false"/>
          <w:sz w:val="24"/>
          <w:szCs w:val="24"/>
        </w:rPr>
        <w:t xml:space="preserve">[Nombre del asesor]</w:t>
      </w:r>
    </w:p>
    <w:p>
      <w:r>
        <w:br w:type="page"/>
      </w:r>
    </w:p>
    <w:p>
      <w:pPr>
        <w:spacing w:after="120" w:before="280" w:line="360" w:lineRule="auto"/>
        <w:jc w:val="left"/>
      </w:pPr>
      <w:r>
        <w:rPr>
          <w:rFonts w:ascii="Times New Roman" w:cs="Times New Roman" w:eastAsia="Times New Roman" w:hAnsi="Times New Roman"/>
          <w:b/>
          <w:bCs/>
          <w:sz w:val="24"/>
          <w:szCs w:val="24"/>
        </w:rPr>
        <w:t xml:space="preserve">RESUMEN</w:t>
      </w:r>
    </w:p>
    <w:p>
      <w:pPr>
        <w:spacing w:after="120" w:before="0" w:line="360" w:lineRule="auto"/>
        <w:jc w:val="both"/>
      </w:pPr>
      <w:r>
        <w:rPr>
          <w:rFonts w:ascii="Times New Roman" w:cs="Times New Roman" w:eastAsia="Times New Roman" w:hAnsi="Times New Roman"/>
          <w:b w:val="false"/>
          <w:bCs w:val="false"/>
          <w:i w:val="false"/>
          <w:iCs w:val="false"/>
          <w:sz w:val="24"/>
          <w:szCs w:val="24"/>
        </w:rPr>
        <w:t>Este proyecto desarrolla un prototipo de apoyo para el reconocimiento del Lenguaje de Señas Mexicano (LSM) mediante visión por computadora e inteligencia artificial. La interfaz web vigente puede abrir la cámara, capturar imágenes y preparar solicitudes de predicción, pero el backend que debería atender esas solicitudes no está incluido en el repositorio actual. Por eso, el sistema debe presentarse como un prototipo con una línea experimental de modelos, no como un traductor terminado en tiempo real. El autocompletado local propone palabras a partir de un prefijo; no confirma que una palabra haya sido reconocida.</w:t>
      </w:r>
    </w:p>
    <w:p>
      <w:pPr>
        <w:spacing w:after="120" w:before="280" w:line="360" w:lineRule="auto"/>
        <w:jc w:val="left"/>
      </w:pPr>
      <w:r>
        <w:rPr>
          <w:rFonts w:ascii="Times New Roman" w:cs="Times New Roman" w:eastAsia="Times New Roman" w:hAnsi="Times New Roman"/>
          <w:b/>
          <w:bCs/>
          <w:sz w:val="24"/>
          <w:szCs w:val="24"/>
        </w:rPr>
        <w:t xml:space="preserve">1. INTRODUCCIÓN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Comunicarse es de las necesidades humanas más básicas y, sin embargo, para una persona sorda en México hacerlo con alguien que no conoce el Lenguaje de Señas Mexicano (LSM) rara vez es sencillo. La opción más común sigue siendo escribir en un papel o en el celular, o esperar a que aparezca un intérprete, que casi nunca está disponible en el momento en que se necesita.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El LSM tiene su propia gramática y su propio vocabulario. No es una versión gestual del español: es una lengua completa, con una estructura distinta a la del español oral o escrito. El problema es que casi ningún oyente lo conoce, así que cuando una persona sorda llega a una consulta médica, a una tienda o a un salón de clases, lo más probable es que nadie ahí pueda entenderla.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En los últimos años esto empezó a cambiar del lado tecnológico. MediaPipe, la librería de visión por computadora de Google, puede rastrear la posición de los dedos y la palma de una mano usando una cámara normal, sin sensores ni guantes especiales. No fue diseñada pensando en lenguaje de señas (sirve lo mismo para videojuegos que para interfaces de manos libres), pero da exactamente el tipo de dato que hace falta para este problema: la posición de cada articulación de la mano, cuadro a cuadro. TensorFlow se encarga de la otra mitad: aprender a distinguir una seña de otra a partir de esos puntos.</w:t>
      </w:r>
    </w:p>
    <w:p>
      <w:pPr>
        <w:spacing w:after="120" w:before="0" w:line="360" w:lineRule="auto"/>
        <w:jc w:val="both"/>
      </w:pPr>
      <w:r>
        <w:rPr>
          <w:rFonts w:ascii="Times New Roman" w:cs="Times New Roman" w:eastAsia="Times New Roman" w:hAnsi="Times New Roman"/>
          <w:b w:val="false"/>
          <w:bCs w:val="false"/>
          <w:i w:val="false"/>
          <w:iCs w:val="false"/>
          <w:sz w:val="24"/>
          <w:szCs w:val="24"/>
        </w:rPr>
        <w:t>Este proyecto nació de una pregunta simple: ¿se puede construir un flujo reproducible que reconozca señas del LSM usando una cámara estándar? El repositorio conserva una interfaz web, extracción de puntos y varias líneas de modelos, pero la conexión entre la cámara y un backend de inferencia aún debe completarse y evaluarse.</w:t>
      </w:r>
    </w:p>
    <w:p>
      <w:pPr>
        <w:spacing w:after="120" w:before="0" w:line="360" w:lineRule="auto"/>
        <w:jc w:val="both"/>
      </w:pPr>
      <w:r>
        <w:rPr>
          <w:rFonts w:ascii="Times New Roman" w:cs="Times New Roman" w:eastAsia="Times New Roman" w:hAnsi="Times New Roman"/>
          <w:b w:val="false"/>
          <w:bCs w:val="false"/>
          <w:i w:val="false"/>
          <w:iCs w:val="false"/>
          <w:sz w:val="24"/>
          <w:szCs w:val="24"/>
        </w:rPr>
        <w:t>La idea de uso es directa: una persona hace una seña frente a la cámara y la aplicación debería mostrar una salida que pueda leerse y aceptarse. En el estado actual, la interfaz prepara esa integración y el autocompletado puede apoyar el deletreo; todavía no se debe afirmar que la cámara traduce de extremo a extremo.</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Nada de esto depende de comprar hardware especial. El 96% de los usuarios de internet en México ya accede desde un smartphone, y ese teléfono ya trae cámara. Por esa misma razón diseñamos el modelo pensando en que pudiera integrarse a las herramientas que la gente ya usa, videollamadas y mensajería, en lugar de competir con ellas ofreciendo una aplicación más que nadie tendría que instalar.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Las redes sociales y las aplicaciones de mensajería ya cambiaron cómo se comunica la gente, y eso incluye a personas sordas y mudas: una videollamada de WhatsApp, por ejemplo, ya es un canal que cualquiera puede usar sin depender de escribir. La población adolescente en particular pasa una parte considerable del día frente al celular, lo que convierte a estas plataformas en el lugar más natural para llevar el reconocimiento de señas, en vez de pedirle a la gente que aprenda una herramienta nueva. Lo mismo aplica del lado empresarial: negocios que necesitan atender clientes sordos por canales digitales se benefician de un reconocimiento de señas que funcione dentro de las aplicaciones que ya usan a diario.</w:t>
      </w:r>
    </w:p>
    <w:p>
      <w:pPr>
        <w:spacing w:after="120" w:before="280" w:line="360" w:lineRule="auto"/>
        <w:jc w:val="left"/>
      </w:pPr>
      <w:r>
        <w:rPr>
          <w:rFonts w:ascii="Times New Roman" w:cs="Times New Roman" w:eastAsia="Times New Roman" w:hAnsi="Times New Roman"/>
          <w:b/>
          <w:bCs/>
          <w:sz w:val="24"/>
          <w:szCs w:val="24"/>
        </w:rPr>
        <w:t xml:space="preserve">2. ANTECEDENTES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Antes de escribir una sola línea de código, revisamos qué se había hecho ya en reconocimiento de señas con inteligencia artificial. La mayoría de esa investigación está enfocada en lenguajes de señas extranjeros, sobre todo el ASL (americano) y el BSL (británico); para el LSM la información disponible era bastante más limitada.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Dentro de México sí hay trabajo previo que vale la pena mencionar. Investigadores de la UNAM probaron redes convolucionales para reconocer un puñado de letras, pero sin lograr que funcionara en tiempo real. En la UABC y el CICESE, Irvin Hussein López Nava desarrolló Daktilos, una aplicación que reconoce las 30 letras del abecedario LSM usando visión por computadora [9]. El IPN, por su parte, construyó un guante con sensores mioeléctricos que verbaliza señas y con él ganó el James Dyson Award México [17]. Ninguno de los dos proyectos, sin embargo, cubre un vocabulario amplio de palabras completas en tiempo real usando solo una computadora estándar.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En 2024 el CICESE lanzó Sordbo, pensado específicamente para tomar pedidos de cafetería en LSM [19]. Por otro lado, EnSeñas AI, una startup mexicana, está construyendo un traductor bidireccional LSM-español [12]; su obstáculo principal, documentado por ellos mismos, es la falta de datos etiquetados de calidad. Es el mismo problema que enfrentamos nosotros durante buena parte de este proyecto.</w:t>
      </w:r>
    </w:p>
    <w:p>
      <w:pPr>
        <w:spacing w:after="120" w:before="0" w:line="360" w:lineRule="auto"/>
        <w:jc w:val="both"/>
      </w:pPr>
      <w:r>
        <w:rPr>
          <w:rFonts w:ascii="Times New Roman" w:cs="Times New Roman" w:eastAsia="Times New Roman" w:hAnsi="Times New Roman"/>
          <w:b w:val="false"/>
          <w:bCs w:val="false"/>
          <w:i w:val="false"/>
          <w:iCs w:val="false"/>
          <w:sz w:val="24"/>
          <w:szCs w:val="24"/>
        </w:rPr>
        <w:t>A nivel internacional el panorama de accuracy es bueno, pero desigual entre lenguas de señas: las mejores arquitecturas para ASL llegan a 99.97%, para LIBRAS a 93%, para ISL a 89.5%. Para LSM, un estudio de 2025 basado en máquinas de soporte vectorial (SVM) alcanzó 92% [15]. Nuestro modelo de abecedario alcanzó 99.06% y el de vocabulario 42.4%, como se detalla en la sección de resultados y se compara en esta sección.</w:t>
      </w:r>
    </w:p>
    <w:p>
      <w:pPr>
        <w:spacing w:after="40" w:before="200"/>
        <w:jc w:val="center"/>
      </w:pPr>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La diferencia entre estos resultados no está en qué tan sofisticada es la arquitectura. Conv1D+BiLSTM, SVM o una red convolucional simple pueden llegar a un accuracy parecido en condiciones comparables; la diferencia real está en cuántos datos etiquetados existen para cada lengua. El inglés y el portugués cuentan con datasets públicos enormes; para el LSM prácticamente no había ninguno utilizable cuando empezamos este proyecto.</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Las herramientas de base también son conocidas: MediaPipe se ha vuelto el estándar de facto para detectar puntos clave de manos en tiempo real, y TensorFlow junto con PyTorch dominan el entrenamiento de redes profundas. De esta revisión sacamos una conclusión clara: no existía un sistema completo para LSM que pudiéramos simplemente adaptar. Terminamos combinando MediaPipe, para detectar la mano, con una red entrenada desde cero para clasificar la seña. Cada pieza tuvo que ajustarse, desde el número de keypoints hasta la forma de normalizar las coordenadas, antes de que funcionara con nuestros propios datos.</w:t>
      </w:r>
    </w:p>
    <w:p>
      <w:pPr>
        <w:spacing w:after="120" w:before="280" w:line="360" w:lineRule="auto"/>
        <w:jc w:val="left"/>
      </w:pPr>
      <w:r>
        <w:rPr>
          <w:rFonts w:ascii="Times New Roman" w:cs="Times New Roman" w:eastAsia="Times New Roman" w:hAnsi="Times New Roman"/>
          <w:b/>
          <w:bCs/>
          <w:sz w:val="24"/>
          <w:szCs w:val="24"/>
        </w:rPr>
        <w:t xml:space="preserve">3. DEFINICIÓN DEL PROBLEMA, PREGUNTA Y META DEL PROYECTO</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La pregunta que guio el proyecto fue directa: ¿puede un sistema de inteligencia artificial reconocer señas del LSM en tiempo real, usando solo la cámara de una computadora estándar, sin depender de escritura ni de un intérprete humano presente?</w:t>
      </w:r>
    </w:p>
    <w:p>
      <w:pPr>
        <w:spacing w:after="120" w:before="0" w:line="360" w:lineRule="auto"/>
        <w:jc w:val="both"/>
      </w:pPr>
      <w:r>
        <w:rPr>
          <w:rFonts w:ascii="Times New Roman" w:cs="Times New Roman" w:eastAsia="Times New Roman" w:hAnsi="Times New Roman"/>
          <w:b w:val="false"/>
          <w:bCs w:val="false"/>
          <w:i w:val="false"/>
          <w:iCs w:val="false"/>
          <w:sz w:val="24"/>
          <w:szCs w:val="24"/>
        </w:rPr>
        <w:t>De ahí se desprendió una meta de ingeniería concreta: construir un prototipo capaz de reconocer las clases que puedan validarse con los datos disponibles, utilizando una representación reproducible de puntos y una evaluación separada por participantes. La cobertura de la Ñ y del vocabulario completo depende de que existan muestras suficientes, correctamente etiquetadas y conectadas al modelo que se vaya a desplegar.</w:t>
      </w:r>
    </w:p>
    <w:p>
      <w:pPr>
        <w:jc w:val="center"/>
      </w:pPr>
      <w:r>
        <w:drawing>
          <wp:inline xmlns:a="http://schemas.openxmlformats.org/drawingml/2006/main" xmlns:pic="http://schemas.openxmlformats.org/drawingml/2006/picture">
            <wp:extent cx="5120640" cy="3840480"/>
            <wp:docPr id="1" name="Picture 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120640" cy="3840480"/>
                    </a:xfrm>
                    <a:prstGeom prst="rect"/>
                  </pic:spPr>
                </pic:pic>
              </a:graphicData>
            </a:graphic>
          </wp:inline>
        </w:drawing>
      </w:r>
    </w:p>
    <w:p>
      <w:pPr>
        <w:jc w:val="center"/>
      </w:pPr>
      <w:r>
        <w:rPr>
          <w:i/>
          <w:iCs/>
          <w:sz w:val="20"/>
          <w:szCs w:val="20"/>
        </w:rPr>
        <w:t xml:space="preserve">Figura 1. Mapa de México. Personas con dificultad para oír, según el Censo 2020 del INEGI: 2,576,213 personas.</w:t>
      </w:r>
    </w:p>
    <w:p>
      <w:pPr>
        <w:spacing w:after="120" w:before="0" w:line="360" w:lineRule="auto"/>
        <w:jc w:val="both"/>
      </w:pPr>
      <w:r>
        <w:rPr>
          <w:rFonts w:ascii="Times New Roman" w:cs="Times New Roman" w:eastAsia="Times New Roman" w:hAnsi="Times New Roman"/>
          <w:b w:val="false"/>
          <w:bCs w:val="false"/>
          <w:i w:val="false"/>
          <w:iCs w:val="false"/>
          <w:sz w:val="24"/>
          <w:szCs w:val="24"/>
        </w:rPr>
        <w:t>El contexto que le da peso a esta pregunta es la situación actual de accesibilidad educativa y laboral en México. Según el INEGI (2020), solo el 21% de las personas sordas en edad escolar asiste a la escuela, y el 47% no llega más allá de cuarto grado de primaria. En el terreno laboral, apenas el 29.9% de la población sorda es económicamente activa, como se explica en esta sección.</w:t>
      </w:r>
    </w:p>
    <w:p>
      <w:pPr>
        <w:spacing w:after="40" w:before="200"/>
        <w:jc w:val="center"/>
      </w:pPr>
      <w:r/>
    </w:p>
    <w:p>
      <w:pPr>
        <w:spacing w:after="120" w:before="0" w:line="360" w:lineRule="auto"/>
        <w:jc w:val="both"/>
      </w:pPr>
      <w:r>
        <w:rPr>
          <w:rFonts w:ascii="Times New Roman" w:cs="Times New Roman" w:eastAsia="Times New Roman" w:hAnsi="Times New Roman"/>
          <w:b w:val="false"/>
          <w:bCs w:val="false"/>
          <w:i w:val="false"/>
          <w:iCs w:val="false"/>
          <w:sz w:val="24"/>
          <w:szCs w:val="24"/>
        </w:rPr>
        <w:t>Estos números no hablan de falta de capacidad: hablan de falta de acceso. Y el acceso no se resuelve solo con buenas intenciones, se resuelve con herramientas que la gente pueda usar hoy, sin esperar a que cambie la política pública o a que se formen más intérpretes de los que hay.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No buscábamos la solución definitiva al problema de accesibilidad en México. Sería ingenuo pensar que un prototipo escolar puede resolver algo tan grande. Buscábamos demostrar que, con las herramientas que ya existen en cualquier computadora, se puede construir algo funcional para el LSM.</w:t>
      </w:r>
    </w:p>
    <w:p>
      <w:pPr>
        <w:spacing w:after="100" w:before="220" w:line="360" w:lineRule="auto"/>
        <w:jc w:val="left"/>
      </w:pPr>
      <w:r>
        <w:rPr>
          <w:rFonts w:ascii="Times New Roman" w:cs="Times New Roman" w:eastAsia="Times New Roman" w:hAnsi="Times New Roman"/>
          <w:b/>
          <w:bCs/>
          <w:sz w:val="24"/>
          <w:szCs w:val="24"/>
        </w:rPr>
        <w:t xml:space="preserve">Hipótesis</w:t>
      </w:r>
    </w:p>
    <w:p>
      <w:pPr>
        <w:spacing w:after="120" w:before="0" w:line="360" w:lineRule="auto"/>
        <w:jc w:val="both"/>
      </w:pPr>
      <w:r>
        <w:rPr>
          <w:rFonts w:ascii="Times New Roman" w:cs="Times New Roman" w:eastAsia="Times New Roman" w:hAnsi="Times New Roman"/>
          <w:b w:val="false"/>
          <w:bCs w:val="false"/>
          <w:i w:val="false"/>
          <w:iCs w:val="false"/>
          <w:sz w:val="24"/>
          <w:szCs w:val="24"/>
        </w:rPr>
        <w:t>Si se extraen puntos de la mano con MediaPipe y se entrenan modelos temporales sobre una representación consistente, entonces el sistema puede ofrecer una base reproducible para reconocer señas del LSM. La hipótesis solo podrá confirmarse después de completar el entrenamiento, evaluar datos de personas no utilizadas en el ajuste y conectar el modelo con la interfaz.</w:t>
      </w:r>
    </w:p>
    <w:p>
      <w:pPr>
        <w:spacing w:after="100" w:before="220" w:line="360" w:lineRule="auto"/>
        <w:jc w:val="left"/>
      </w:pPr>
      <w:r>
        <w:rPr>
          <w:rFonts w:ascii="Times New Roman" w:cs="Times New Roman" w:eastAsia="Times New Roman" w:hAnsi="Times New Roman"/>
          <w:b/>
          <w:bCs/>
          <w:sz w:val="24"/>
          <w:szCs w:val="24"/>
        </w:rPr>
        <w:t xml:space="preserve">Variables</w:t>
      </w:r>
    </w:p>
    <w:p>
      <w:pPr>
        <w:pStyle w:val="ListParagraph"/>
        <w:spacing w:after="80" w:before="0" w:line="360" w:lineRule="auto"/>
        <w:ind w:left="360"/>
        <w:jc w:val="both"/>
      </w:pPr>
      <w:r>
        <w:rPr>
          <w:rFonts w:ascii="Times New Roman" w:cs="Times New Roman" w:eastAsia="Times New Roman" w:hAnsi="Times New Roman"/>
          <w:sz w:val="24"/>
          <w:szCs w:val="24"/>
        </w:rPr>
        <w:t>Variable independiente: la cantidad y diversidad de muestras por clase, la representación de puntos utilizada y la arquitectura temporal seleccionada para cada experimento.</w:t>
      </w:r>
    </w:p>
    <w:p>
      <w:pPr>
        <w:pStyle w:val="ListParagraph"/>
        <w:spacing w:after="80" w:before="0" w:line="360" w:lineRule="auto"/>
        <w:ind w:left="360"/>
        <w:jc w:val="both"/>
      </w:pPr>
      <w:r>
        <w:rPr>
          <w:rFonts w:ascii="Times New Roman" w:cs="Times New Roman" w:eastAsia="Times New Roman" w:hAnsi="Times New Roman"/>
          <w:sz w:val="24"/>
          <w:szCs w:val="24"/>
        </w:rPr>
        <w:t xml:space="preserve">Variable dependiente: el accuracy de clasificación del modelo sobre el conjunto de prueba, medido en porcentaje de predicciones correctas.</w:t>
      </w:r>
    </w:p>
    <w:p>
      <w:pPr>
        <w:pStyle w:val="ListParagraph"/>
        <w:spacing w:after="80" w:before="0" w:line="360" w:lineRule="auto"/>
        <w:ind w:left="360"/>
        <w:jc w:val="both"/>
      </w:pPr>
      <w:r>
        <w:rPr>
          <w:rFonts w:ascii="Times New Roman" w:cs="Times New Roman" w:eastAsia="Times New Roman" w:hAnsi="Times New Roman"/>
          <w:sz w:val="24"/>
          <w:szCs w:val="24"/>
        </w:rPr>
        <w:t xml:space="preserve">Variables controladas: la resolución de cámara, el modelo de MediaPipe utilizado (HandLandmarker, misma versión para todas las muestras), la proporción de la partición entrenamiento/validación/prueba (70/15/15) y los hiperparámetros de entrenamiento (optimizador, tasa de aprendizaje, tamaño de batch), que se mantuvieron fijos entre el modelo de abecedario y el de vocabulario para poder comparar resultados.</w:t>
      </w:r>
    </w:p>
    <w:p>
      <w:pPr>
        <w:spacing w:after="120" w:before="280" w:line="360" w:lineRule="auto"/>
        <w:jc w:val="left"/>
      </w:pPr>
      <w:r>
        <w:rPr>
          <w:rFonts w:ascii="Times New Roman" w:cs="Times New Roman" w:eastAsia="Times New Roman" w:hAnsi="Times New Roman"/>
          <w:b/>
          <w:bCs/>
          <w:sz w:val="24"/>
          <w:szCs w:val="24"/>
        </w:rPr>
        <w:t xml:space="preserve">4. JUSTIFICACIÓN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Para dimensionar el problema: el Censo de Población y Vivienda 2020 del INEGI, usando la metodología del Grupo de Washington, registró 2,576,213 personas en México con mucha dificultad para oír, aun usando aparato auditivo, y 1,417,126 personas con dificultad para hablar o comunicarse (algunas personas presentan ambas condiciones) [1, 2].</w:t>
      </w:r>
    </w:p>
    <w:p>
      <w:pPr>
        <w:spacing w:after="40" w:before="200"/>
        <w:jc w:val="center"/>
      </w:pPr>
      <w:r/>
    </w:p>
    <w:p>
      <w:pPr>
        <w:spacing w:after="120" w:before="0" w:line="360" w:lineRule="auto"/>
        <w:jc w:val="both"/>
      </w:pPr>
      <w:r>
        <w:rPr>
          <w:rFonts w:ascii="Times New Roman" w:cs="Times New Roman" w:eastAsia="Times New Roman" w:hAnsi="Times New Roman"/>
          <w:b w:val="false"/>
          <w:bCs w:val="false"/>
          <w:i w:val="false"/>
          <w:iCs w:val="false"/>
          <w:sz w:val="24"/>
          <w:szCs w:val="24"/>
        </w:rPr>
        <w:t>La distribución geográfica tampoco es uniforme: se concentra con mayor intensidad en los estados más poblados y en las zonas urbanas del centro del país, como muestran los datos disponibles.</w:t>
      </w:r>
    </w:p>
    <w:p>
      <w:pPr>
        <w:spacing w:after="40" w:before="200"/>
        <w:jc w:val="center"/>
      </w:pPr>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La distribución por edad de esta población importa para pensar el diseño de la solución. Más de la mitad tiene más de 60 años, en su mayoría sordera adquirida con la edad, y un 34% adicional tiene entre 30 y 59 años: personas en edad de trabajar, con trámites, citas médicas y vida cotidiana activa. Los niños representan apenas el 2%. No es un problema de una sola generación: cruza el sistema de salud, el mercado laboral y los servicios públicos todos los días.</w:t>
      </w:r>
    </w:p>
    <w:p>
      <w:pPr>
        <w:spacing w:after="120" w:before="0" w:line="360" w:lineRule="auto"/>
        <w:jc w:val="both"/>
      </w:pPr>
      <w:r>
        <w:rPr>
          <w:rFonts w:ascii="Times New Roman" w:cs="Times New Roman" w:eastAsia="Times New Roman" w:hAnsi="Times New Roman"/>
          <w:b w:val="false"/>
          <w:bCs w:val="false"/>
          <w:i w:val="false"/>
          <w:iCs w:val="false"/>
          <w:sz w:val="24"/>
          <w:szCs w:val="24"/>
        </w:rPr>
        <w:t>El repositorio conserva manifiestos de varias fuentes, registros del abecedario y secuencias representadas como puntos tridimensionales. El mapa nominal contiene 249 etiquetas de palabras, pero esa cifra no equivale a 249 clases entrenadas con igual cantidad de datos. Los archivos procesados grandes tampoco están todos incluidos en el clon actual.</w:t>
      </w:r>
    </w:p>
    <w:p>
      <w:pPr>
        <w:jc w:val="both"/>
      </w:pPr>
      <w:r>
        <w:rPr>
          <w:rFonts w:ascii="Times New Roman" w:hAnsi="Times New Roman"/>
          <w:sz w:val="24"/>
        </w:rPr>
        <w:t>Resultados actualizados del repositorio (4 de septiembre de 2026): el modelo estático de abecedario evaluó 21 letras y obtuvo 98.78% de accuracy y 98.79% de macro-F1 en 41,773 muestras de prueba. El modelo dinámico evaluó J, K, Ñ, Q, X y Z con secuencias de 30 cuadros y 126 características por cuadro; obtuvo 96.67% de accuracy y 96.63% de macro-F1 en 120 muestras. En la matriz dinámica, J, K, Q, Z y Ñ acertaron 20 de 20 muestras cada una; X acertó 16 de 20 y se confundió cuatro veces con Q. En conjunto, el repositorio reporta modelos para 27 letras, pero las cifras deben mantenerse separadas por tarea. Estos resultados describen checkpoints evaluados y no demuestran todavía una traducción de extremo a extremo dentro de la interfaz.</w:t>
      </w:r>
    </w:p>
    <w:p>
      <w:pPr>
        <w:jc w:val="both"/>
      </w:pPr>
      <w:r>
        <w:t>Figura. Ejemplos de keypoints 3D extraídos para las letras A–F del abecedario LSM.</w:t>
      </w:r>
    </w:p>
    <w:p>
      <w:pPr>
        <w:jc w:val="center"/>
      </w:pPr>
      <w:r>
        <w:drawing>
          <wp:inline xmlns:a="http://schemas.openxmlformats.org/drawingml/2006/main" xmlns:pic="http://schemas.openxmlformats.org/drawingml/2006/picture">
            <wp:extent cx="5486400" cy="3605053"/>
            <wp:docPr id="9" name="Picture 9"/>
            <wp:cNvGraphicFramePr>
              <a:graphicFrameLocks noChangeAspect="1"/>
            </wp:cNvGraphicFramePr>
            <a:graphic>
              <a:graphicData uri="http://schemas.openxmlformats.org/drawingml/2006/picture">
                <pic:pic>
                  <pic:nvPicPr>
                    <pic:cNvPr id="0" name="keypoints_abecedario_lsm.png"/>
                    <pic:cNvPicPr/>
                  </pic:nvPicPr>
                  <pic:blipFill>
                    <a:blip r:embed="rId47"/>
                    <a:stretch>
                      <a:fillRect/>
                    </a:stretch>
                  </pic:blipFill>
                  <pic:spPr>
                    <a:xfrm>
                      <a:off x="0" y="0"/>
                      <a:ext cx="5486400" cy="3605053"/>
                    </a:xfrm>
                    <a:prstGeom prst="rect"/>
                  </pic:spPr>
                </pic:pic>
              </a:graphicData>
            </a:graphic>
          </wp:inline>
        </w:drawing>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La barrera más concreta que enfrenta esta población en el día a día no es, como se suele pensar, la falta de intérpretes: es que el 70% de las palabras del español no tienen una seña directa en LSM y deben deletrearse letra por letra (IMON, 2024) [13]. Eso vuelve lento cualquier trámite cotidiano: pedir un medicamento, hablar con un maestro, resolver algo en una ventanilla. La ENADIS 2022 documentó que el 33.8% de las personas con discapacidad reportó haber sufrido discriminación, y el 80% de los trabajadores sordos no cuenta con ninguna tecnología de asistencia. En el sector salud, más del 65% tiene dificultad para entender instrucciones médicas sin un intérprete presente [14].</w:t>
      </w:r>
    </w:p>
    <w:p>
      <w:pPr>
        <w:spacing w:after="40" w:before="200"/>
        <w:jc w:val="center"/>
      </w:pPr>
      <w:r/>
    </w:p>
    <w:p>
      <w:pPr>
        <w:spacing w:after="120" w:before="0" w:line="360" w:lineRule="auto"/>
        <w:jc w:val="both"/>
      </w:pPr>
      <w:r>
        <w:rPr>
          <w:rFonts w:ascii="Times New Roman" w:cs="Times New Roman" w:eastAsia="Times New Roman" w:hAnsi="Times New Roman"/>
          <w:b w:val="false"/>
          <w:bCs w:val="false"/>
          <w:i w:val="false"/>
          <w:iCs w:val="false"/>
          <w:sz w:val="24"/>
          <w:szCs w:val="24"/>
        </w:rPr>
        <w:t>Diseñar y validar progresivamente un prototipo de reconocimiento de señas del LSM que pueda convertir una entrada de cámara en texto, utilizando inteligencia artificial y herramientas de código abierto, sin presentar como terminado lo que todavía no está conectado o evaluado.</w:t>
      </w:r>
    </w:p>
    <w:p>
      <w:pPr>
        <w:spacing w:after="120" w:before="0" w:line="360" w:lineRule="auto"/>
        <w:jc w:val="both"/>
      </w:pPr>
      <w:r>
        <w:rPr>
          <w:rFonts w:ascii="Times New Roman" w:cs="Times New Roman" w:eastAsia="Times New Roman" w:hAnsi="Times New Roman"/>
          <w:b w:val="false"/>
          <w:bCs w:val="false"/>
          <w:i w:val="false"/>
          <w:iCs w:val="false"/>
          <w:sz w:val="24"/>
          <w:szCs w:val="24"/>
        </w:rPr>
        <w:t>Para entrenar el sistema recopilamos un dataset propio de 598,127 datos: 574,064 del abecedario, distribuidas en 21 letras estáticas (de la A a la V, sin la Ñ, más la W y la Y), y 24,063 más repartidas en 249 palabras del vocabulario LSM. Las herramientas para construir esto (MediaPipe, TensorFlow, Python) ya eran gratuitas y de código abierto. Lo que no existía era un modelo entrenado específicamente con señas del LSM, publicado abiertamente y disponible para cualquiera que quisiera usarlo.</w:t>
      </w:r>
    </w:p>
    <w:p>
      <w:pPr>
        <w:spacing w:after="120" w:before="280" w:line="360" w:lineRule="auto"/>
        <w:jc w:val="left"/>
      </w:pPr>
      <w:r>
        <w:rPr>
          <w:rFonts w:ascii="Times New Roman" w:cs="Times New Roman" w:eastAsia="Times New Roman" w:hAnsi="Times New Roman"/>
          <w:b w:val="0"/>
          <w:bCs/>
          <w:sz w:val="24"/>
          <w:szCs w:val="24"/>
        </w:rPr>
        <w:t>1. Preparar representaciones de puntos clave mediante MediaPipe y entrenar modelos temporales con las herramientas declaradas para cada experimento, diferenciando la línea PyTorch vigente del runtime TensorFlow/TFLite heredado.</w:t>
      </w:r>
    </w:p>
    <w:p>
      <w:pPr>
        <w:spacing w:after="100" w:before="220" w:line="360" w:lineRule="auto"/>
        <w:jc w:val="left"/>
      </w:pPr>
      <w:r>
        <w:rPr>
          <w:rFonts w:ascii="Times New Roman" w:cs="Times New Roman" w:eastAsia="Times New Roman" w:hAnsi="Times New Roman"/>
          <w:b w:val="0"/>
          <w:bCs/>
          <w:sz w:val="24"/>
          <w:szCs w:val="24"/>
        </w:rPr>
        <w:t>2. Diseñar un contrato de integración que permita conectar un modelo validado con la interfaz web; la integración con plataformas de videollamada, mensajería o educación queda como trabajo posterior.</w:t>
      </w:r>
    </w:p>
    <w:p>
      <w:pPr>
        <w:spacing w:after="120" w:before="0" w:line="360" w:lineRule="auto"/>
        <w:jc w:val="both"/>
      </w:pPr>
      <w:r>
        <w:rPr>
          <w:rFonts w:ascii="Times New Roman" w:cs="Times New Roman" w:eastAsia="Times New Roman" w:hAnsi="Times New Roman"/>
          <w:b w:val="false"/>
          <w:bCs w:val="false"/>
          <w:i w:val="false"/>
          <w:iCs w:val="false"/>
          <w:sz w:val="24"/>
          <w:szCs w:val="24"/>
        </w:rPr>
        <w:t>3. Evaluar el desempeño con métricas de validación y prueba, incluyendo participantes no utilizados durante el entrenamiento, antes de afirmar una cobertura determinada o alcanzar la meta de 85% de accuracy.</w:t>
      </w:r>
    </w:p>
    <w:p>
      <w:pPr>
        <w:spacing w:after="100" w:before="220" w:line="360" w:lineRule="auto"/>
        <w:jc w:val="left"/>
      </w:pPr>
      <w:r>
        <w:rPr>
          <w:rFonts w:ascii="Times New Roman" w:cs="Times New Roman" w:eastAsia="Times New Roman" w:hAnsi="Times New Roman"/>
          <w:b w:val="0"/>
          <w:bCs/>
          <w:sz w:val="24"/>
          <w:szCs w:val="24"/>
        </w:rPr>
        <w:t>4. Probar la integración de la inferencia con la interfaz web y documentar por separado cualquier integración futura con plataformas de videollamada o mensajería.</w:t>
      </w:r>
    </w:p>
    <w:p>
      <w:pPr>
        <w:pStyle w:val="ListParagraph"/>
        <w:spacing w:after="80" w:before="0" w:line="360" w:lineRule="auto"/>
        <w:ind w:left="360"/>
        <w:jc w:val="both"/>
      </w:pPr>
      <w:r>
        <w:rPr>
          <w:rFonts w:ascii="Times New Roman" w:cs="Times New Roman" w:eastAsia="Times New Roman" w:hAnsi="Times New Roman"/>
          <w:sz w:val="24"/>
          <w:szCs w:val="24"/>
        </w:rPr>
        <w:t>5. Publicar, cuando las licencias y los consentimientos lo permitan, el código y los manifiestos necesarios para que otros equipos puedan reproducir o ampliar el trabajo.</w:t>
      </w:r>
    </w:p>
    <w:p>
      <w:pPr>
        <w:pStyle w:val="ListParagraph"/>
        <w:spacing w:after="80" w:before="0" w:line="360" w:lineRule="auto"/>
        <w:ind w:left="360"/>
        <w:jc w:val="both"/>
      </w:pPr>
      <w:r>
        <w:rPr>
          <w:rFonts w:ascii="Times New Roman" w:cs="Times New Roman" w:eastAsia="Times New Roman" w:hAnsi="Times New Roman"/>
          <w:sz w:val="24"/>
          <w:szCs w:val="24"/>
        </w:rPr>
        <w:t xml:space="preserve">2. Diseñar el modelo con una arquitectura que permita su integración en plataformas ya existentes de videollamada, mensajería o educación, priorizando primero las más abiertas a integraciones externas (Google Meet, Microsoft Teams y Zoom) y escalando después hacia plataformas más cerradas como WhatsApp, Instagram e incluso Facebook, sin requerir que el usuario instale software adicional.</w:t>
      </w:r>
    </w:p>
    <w:p>
      <w:pPr>
        <w:pStyle w:val="ListParagraph"/>
        <w:spacing w:after="80" w:before="0" w:line="360" w:lineRule="auto"/>
        <w:ind w:left="360"/>
        <w:jc w:val="both"/>
      </w:pPr>
      <w:r>
        <w:rPr>
          <w:rFonts w:ascii="Times New Roman" w:cs="Times New Roman" w:eastAsia="Times New Roman" w:hAnsi="Times New Roman"/>
          <w:sz w:val="24"/>
          <w:szCs w:val="24"/>
        </w:rPr>
        <w:t>El desarrollo se organizó en etapas que pueden repetirse y evaluarse por separado: preparación de manifiestos, extracción de puntos, generación de características, entrenamiento, evaluación y conexión con la aplicación. Las representaciones, modelos y métricas se describen por experimento para no mezclar tareas con contratos de entrada distintos.</w:t>
      </w:r>
    </w:p>
    <w:p>
      <w:pPr>
        <w:pStyle w:val="ListParagraph"/>
        <w:spacing w:after="80" w:before="0" w:line="360" w:lineRule="auto"/>
        <w:ind w:left="360"/>
        <w:jc w:val="both"/>
      </w:pPr>
      <w:r>
        <w:rPr>
          <w:rFonts w:ascii="Times New Roman" w:cs="Times New Roman" w:eastAsia="Times New Roman" w:hAnsi="Times New Roman"/>
          <w:sz w:val="24"/>
          <w:szCs w:val="24"/>
        </w:rPr>
        <w:t xml:space="preserve">4. Probar la integración del modelo en plataformas de videollamada y mensajería populares.</w:t>
      </w:r>
    </w:p>
    <w:p>
      <w:pPr>
        <w:pStyle w:val="ListParagraph"/>
        <w:spacing w:after="80" w:before="0" w:line="360" w:lineRule="auto"/>
        <w:ind w:left="360"/>
        <w:jc w:val="both"/>
      </w:pPr>
      <w:r>
        <w:rPr>
          <w:rFonts w:ascii="Times New Roman" w:cs="Times New Roman" w:eastAsia="Times New Roman" w:hAnsi="Times New Roman"/>
          <w:sz w:val="24"/>
          <w:szCs w:val="24"/>
        </w:rPr>
        <w:t xml:space="preserve">5. Publicar el código y los datos de entrenamiento como código abierto, de modo que cualquier desarrollador pueda usarlos, modificarlos o adaptarlos a nuevas señas.</w:t>
      </w:r>
    </w:p>
    <w:p>
      <w:pPr>
        <w:pStyle w:val="ListParagraph"/>
        <w:spacing w:after="80" w:before="0" w:line="360" w:lineRule="auto"/>
        <w:ind w:left="360"/>
        <w:jc w:val="both"/>
      </w:pPr>
      <w:r>
        <w:rPr>
          <w:rFonts w:ascii="Times New Roman" w:cs="Times New Roman" w:eastAsia="Times New Roman" w:hAnsi="Times New Roman"/>
          <w:sz w:val="24"/>
          <w:szCs w:val="24"/>
        </w:rPr>
        <w:t>Lenguaje y librerías: Python 3, MediaPipe y NumPy en las etapas de visión; PyTorch en la línea de entrenamiento TCN; TensorFlow/TFLite aparece en un runtime heredado que no está conectado a la interfaz React vigente.</w:t>
      </w:r>
    </w:p>
    <w:p>
      <w:pPr>
        <w:spacing w:after="120" w:before="280" w:line="360" w:lineRule="auto"/>
        <w:jc w:val="left"/>
      </w:pPr>
      <w:r>
        <w:rPr>
          <w:rFonts w:ascii="Times New Roman" w:cs="Times New Roman" w:eastAsia="Times New Roman" w:hAnsi="Times New Roman"/>
          <w:b/>
          <w:bCs/>
          <w:sz w:val="24"/>
          <w:szCs w:val="24"/>
        </w:rPr>
        <w:t xml:space="preserve">6. METODOLOGÍA</w:t>
      </w:r>
    </w:p>
    <w:p>
      <w:pPr>
        <w:spacing w:after="120" w:before="0" w:line="360" w:lineRule="auto"/>
        <w:jc w:val="both"/>
      </w:pPr>
      <w:r>
        <w:rPr>
          <w:rFonts w:ascii="Times New Roman" w:cs="Times New Roman" w:eastAsia="Times New Roman" w:hAnsi="Times New Roman"/>
          <w:b w:val="false"/>
          <w:bCs w:val="false"/>
          <w:i w:val="false"/>
          <w:iCs w:val="false"/>
          <w:sz w:val="24"/>
          <w:szCs w:val="24"/>
        </w:rPr>
        <w:t>Hardware de entrenamiento: el experimento `successor_positions126` registra CPU como dispositivo efectivo; la disponibilidad de GPU o de varios núcleos debe registrarse por corrida y no se puede inferir del código.</w:t>
      </w:r>
    </w:p>
    <w:p>
      <w:pPr>
        <w:spacing w:after="40" w:before="200" w:line="360" w:lineRule="auto"/>
        <w:jc w:val="both"/>
      </w:pPr>
      <w:r>
        <w:rPr>
          <w:rFonts w:ascii="Times New Roman" w:hAnsi="Times New Roman" w:eastAsia="Times New Roman"/>
          <w:sz w:val="24"/>
        </w:rPr>
        <w:t>Formato de salida: el TCN PyTorch vigente conserva checkpoints experimentales; la exportación a TFLite corresponde a una línea heredada y no está conectada a la interfaz React actual.</w:t>
      </w:r>
    </w:p>
    <w:p>
      <w:pPr>
        <w:spacing w:after="100" w:before="220" w:line="360" w:lineRule="auto"/>
        <w:jc w:val="left"/>
      </w:pPr>
      <w:r>
        <w:rPr>
          <w:rFonts w:ascii="Times New Roman" w:cs="Times New Roman" w:eastAsia="Times New Roman" w:hAnsi="Times New Roman"/>
          <w:b w:val="0"/>
          <w:bCs/>
          <w:sz w:val="24"/>
          <w:szCs w:val="24"/>
        </w:rPr>
        <w:t>Control de versiones y organización del código: la interfaz está en `app/`, la visión en `core/`, los modelos y entrenadores PyTorch en `entrenador/`, los manifiestos en `dataset/` y los análisis en `docs/`.</w:t>
      </w:r>
    </w:p>
    <w:p>
      <w:pPr>
        <w:pStyle w:val="ListParagraph"/>
        <w:spacing w:after="80" w:before="0" w:line="360" w:lineRule="auto"/>
        <w:ind w:left="360"/>
        <w:jc w:val="both"/>
      </w:pPr>
      <w:r>
        <w:rPr>
          <w:rFonts w:ascii="Times New Roman" w:cs="Times New Roman" w:eastAsia="Times New Roman" w:hAnsi="Times New Roman"/>
          <w:sz w:val="24"/>
          <w:szCs w:val="24"/>
        </w:rPr>
        <w:t xml:space="preserve">Lenguaje y librerías: Python 3, MediaPipe (tasks-vision, modelo HandLandmarker), TensorFlow 2.21.0, OpenCV, NumPy.</w:t>
      </w:r>
    </w:p>
    <w:p>
      <w:pPr>
        <w:pStyle w:val="ListParagraph"/>
        <w:spacing w:after="80" w:before="0" w:line="360" w:lineRule="auto"/>
        <w:ind w:left="360"/>
        <w:jc w:val="both"/>
      </w:pPr>
      <w:r>
        <w:rPr>
          <w:rFonts w:ascii="Times New Roman" w:cs="Times New Roman" w:eastAsia="Times New Roman" w:hAnsi="Times New Roman"/>
          <w:sz w:val="24"/>
          <w:szCs w:val="24"/>
        </w:rPr>
        <w:t>El repositorio distingue entre manifiestos de dactilología, abecedario y puntos tridimensionales. La tabla resume el catálogo disponible, pero la existencia de una fila no demuestra que la clase tenga suficientes datos listos para entrenar.</w:t>
      </w:r>
    </w:p>
    <w:p>
      <w:pPr>
        <w:pStyle w:val="ListParagraph"/>
        <w:spacing w:after="80" w:before="0" w:line="360" w:lineRule="auto"/>
        <w:ind w:left="360"/>
        <w:jc w:val="both"/>
      </w:pPr>
      <w:r>
        <w:rPr>
          <w:rFonts w:ascii="Times New Roman" w:cs="Times New Roman" w:eastAsia="Times New Roman" w:hAnsi="Times New Roman"/>
          <w:sz w:val="24"/>
          <w:szCs w:val="24"/>
        </w:rPr>
        <w:t>Hardware de entrenamiento: computadora con GPU y 20 núcleos de CPU disponibles para el procesamiento paralelo de datos.</w:t>
      </w:r>
    </w:p>
    <w:p>
      <w:pPr>
        <w:pStyle w:val="ListParagraph"/>
        <w:spacing w:after="80" w:before="0" w:line="360" w:lineRule="auto"/>
        <w:ind w:left="360"/>
        <w:jc w:val="both"/>
      </w:pPr>
      <w:r>
        <w:rPr>
          <w:rFonts w:ascii="Times New Roman" w:cs="Times New Roman" w:eastAsia="Times New Roman" w:hAnsi="Times New Roman"/>
          <w:sz w:val="24"/>
          <w:szCs w:val="24"/>
        </w:rPr>
        <w:t>Para el vocabulario se registran 249 etiquetas nominales, mientras que el experimento `successor_positions126` conserva una partición concreta de 1,675 muestras de entrenamiento, 379 de validación y 393 de prueba. Estos datos no deben presentarse como un dataset consolidado de 598,127 muestras ni como un modelo de 249 palabras listo para uso.</w:t>
      </w:r>
    </w:p>
    <w:p>
      <w:pPr>
        <w:pStyle w:val="ListParagraph"/>
        <w:spacing w:after="80" w:before="0" w:line="360" w:lineRule="auto"/>
        <w:ind w:left="360"/>
        <w:jc w:val="both"/>
      </w:pPr>
      <w:r>
        <w:rPr>
          <w:rFonts w:ascii="Times New Roman" w:cs="Times New Roman" w:eastAsia="Times New Roman" w:hAnsi="Times New Roman"/>
          <w:sz w:val="24"/>
          <w:szCs w:val="24"/>
        </w:rPr>
        <w:t xml:space="preserve">Control de versiones y organización del código: repositorio con scripts numerados por etapa del pipeline (config.py, a_mediapipe.py, b_keypoints.py, y así sucesivamente).</w:t>
      </w:r>
    </w:p>
    <w:p>
      <w:pPr>
        <w:spacing w:after="100" w:before="220" w:line="360" w:lineRule="auto"/>
        <w:jc w:val="left"/>
      </w:pPr>
      <w:r>
        <w:rPr>
          <w:rFonts w:ascii="Times New Roman" w:cs="Times New Roman" w:eastAsia="Times New Roman" w:hAnsi="Times New Roman"/>
          <w:b/>
          <w:bCs/>
          <w:sz w:val="24"/>
          <w:szCs w:val="24"/>
        </w:rPr>
        <w:t xml:space="preserve">6.1 Recolección de datos</w:t>
      </w:r>
    </w:p>
    <w:p>
      <w:pPr>
        <w:spacing w:after="120" w:before="0" w:line="360" w:lineRule="auto"/>
        <w:jc w:val="both"/>
      </w:pPr>
      <w:r>
        <w:rPr>
          <w:rFonts w:ascii="Times New Roman" w:cs="Times New Roman" w:eastAsia="Times New Roman" w:hAnsi="Times New Roman"/>
          <w:b w:val="false"/>
          <w:bCs w:val="false"/>
          <w:i w:val="false"/>
          <w:iCs w:val="false"/>
          <w:sz w:val="24"/>
          <w:szCs w:val="24"/>
        </w:rPr>
        <w:t>Para el abecedario se fotografiaron 574,064 datos en 21 letras estáticas (de la A a la V, sin la Ñ, más la W y la Y), con un promedio de 27,358 fotos por letra; el rango va de 26,358 a 29,362 según la letra. Cinco letras dinámicas (J, K, Q, X, Z) se registroron en video en lugar de muestra fija, porque su forma cambia con el movimiento y una sola dato no las representa bien: 200 videos por cada una de estas cinco letras. La Ñ se intentó registror de la misma manera, pero no se obtuvo ninguna toma utilizable; en la práctica, el modelo de abecedario reconoce 26 clases, no 27. La Tabla 1 desglosa el tipo de registro y el número de muestras por letra.</w:t>
      </w:r>
    </w:p>
    <w:p>
      <w:pPr>
        <w:spacing w:after="40" w:before="200"/>
        <w:jc w:val="center"/>
      </w:pPr>
      <w:r>
        <w:drawing>
          <wp:inline xmlns:a="http://schemas.openxmlformats.org/drawingml/2006/main" xmlns:pic="http://schemas.openxmlformats.org/drawingml/2006/picture">
            <wp:extent cx="5486400" cy="2624100"/>
            <wp:docPr id="2" name="Picture"/>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486400" cy="2624100"/>
                    </a:xfrm>
                    <a:prstGeom prst="rect"/>
                  </pic:spPr>
                </pic:pic>
              </a:graphicData>
            </a:graphic>
          </wp:inline>
        </w:drawing>
      </w:r>
    </w:p>
    <w:p>
      <w:pPr>
        <w:spacing w:after="200" w:before="40"/>
        <w:jc w:val="center"/>
      </w:pPr>
      <w:r>
        <w:rPr>
          <w:i/>
          <w:iCs/>
          <w:sz w:val="20"/>
          <w:szCs w:val="20"/>
        </w:rPr>
        <w:t xml:space="preserve">Figura 2. Balance de clases del dataset de abecedario (muestras estáticas, dinámicas y la Ñ sin datos utilizables) y reducción dimensional aplicada por MediaPipe (de 921,600 valores por cuadro a 63). Elaboración propia a partir de los conteos reportados en la sección 6.1 y de lsm_alphabet_report.json.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500"/>
            <w:shd w:fill="1565C0"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Letra</w:t>
            </w:r>
          </w:p>
        </w:tc>
        <w:tc>
          <w:tcPr>
            <w:tcW w:type="dxa" w:w="5500"/>
            <w:shd w:fill="1565C0"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Tipo de registro</w:t>
            </w:r>
          </w:p>
        </w:tc>
        <w:tc>
          <w:tcPr>
            <w:tcW w:type="dxa" w:w="2500"/>
            <w:shd w:fill="1565C0"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Muestras aprox.</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A</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Estática (foto)</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~27,358</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B</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Estática (foto)</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~27,358</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Estática (foto)</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~27,358</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Estática (foto)</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~27,358</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Estática (foto)</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~27,358</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F</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Estática (foto)</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~27,358</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G</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Estática (foto)</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~27,358</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H</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Estática (foto)</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~27,358</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I</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Estática (foto)</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~27,358</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L</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Estática (foto)</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~27,358</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Estática (foto)</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~27,358</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N</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Estática (foto)</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~27,358</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O</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Estática (foto)</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~27,358</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Estática (foto)</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~27,358</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Estática (foto)</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~27,358</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S</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Estática (foto)</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~27,358</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Estática (foto)</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~27,358</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U</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Estática (foto)</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~27,358</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V</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Estática (foto)</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~27,358</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W</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Estática (foto)</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~27,358</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Y</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Estática (foto)</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~27,358</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J</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Dinámica (video)</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200</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K</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Dinámica (video)</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200</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Q</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Dinámica (video)</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200</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X</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Dinámica (video)</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200</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Z</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Dinámica (video)</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200</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Ñ</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Sin datos utilizables — excluida del entrenamiento</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0</w:t>
            </w:r>
          </w:p>
        </w:tc>
      </w:tr>
    </w:tbl>
    <w:p>
      <w:pPr>
        <w:spacing w:after="260" w:before="80" w:line="360" w:lineRule="auto"/>
        <w:jc w:val="both"/>
      </w:pPr>
      <w:r>
        <w:rPr>
          <w:rFonts w:ascii="Times New Roman" w:cs="Times New Roman" w:eastAsia="Times New Roman" w:hAnsi="Times New Roman"/>
          <w:i/>
          <w:iCs/>
          <w:color w:val="666666"/>
          <w:sz w:val="18"/>
          <w:szCs w:val="18"/>
        </w:rPr>
        <w:t>Tabla 1. Las 27 letras del abecedario LSM, tipo de registro y disponibilidad de datos.</w:t>
      </w:r>
    </w:p>
    <w:p>
      <w:pPr>
        <w:spacing w:after="120" w:before="0" w:line="360" w:lineRule="auto"/>
        <w:jc w:val="both"/>
      </w:pPr>
      <w:r>
        <w:rPr>
          <w:rFonts w:ascii="Times New Roman" w:cs="Times New Roman" w:eastAsia="Times New Roman" w:hAnsi="Times New Roman"/>
          <w:b w:val="false"/>
          <w:bCs w:val="false"/>
          <w:i w:val="false"/>
          <w:iCs w:val="false"/>
          <w:sz w:val="24"/>
          <w:szCs w:val="24"/>
        </w:rPr>
        <w:t>Para el vocabulario se trabajó con 249 palabras organizadas en 12 categorías semánticas (acciones, personas, tiempo, lugares, casa y escuela, alimentos, transporte, familiares, cuerpo, ropa y saludos, entre otras), que en conjunto suman 303 clases registradas al contar variantes de una misma palabra. En total se recopilaron 4,811 secuencias de video. Antes de entrenar, se calculó el hash MD5 de cada secuencia para detectar duplicados exactos; se encontraron y eliminaron 35. La Figura 3 muestra cómo se reparten esas clases entre categorías; conviene adelantar que no todas tienen el mismo desempeño, como se ve en la sección de resultados.</w:t>
      </w:r>
    </w:p>
    <w:p>
      <w:pPr>
        <w:spacing w:after="40" w:before="200"/>
        <w:jc w:val="center"/>
      </w:pPr>
      <w:r>
        <w:drawing>
          <wp:inline xmlns:a="http://schemas.openxmlformats.org/drawingml/2006/main" xmlns:pic="http://schemas.openxmlformats.org/drawingml/2006/picture">
            <wp:extent cx="5486400" cy="3320300"/>
            <wp:docPr id="6" name="Picture"/>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486400" cy="3320300"/>
                    </a:xfrm>
                    <a:prstGeom prst="rect"/>
                  </pic:spPr>
                </pic:pic>
              </a:graphicData>
            </a:graphic>
          </wp:inline>
        </w:drawing>
      </w:r>
    </w:p>
    <w:p>
      <w:pPr>
        <w:spacing w:after="200" w:before="40"/>
        <w:jc w:val="center"/>
      </w:pPr>
      <w:r>
        <w:rPr>
          <w:i/>
          <w:iCs/>
          <w:sz w:val="20"/>
          <w:szCs w:val="20"/>
        </w:rPr>
        <w:t xml:space="preserve">Figura 3. Distribución de las 249 palabras del vocabulario entre las 11 categorías semánticas definidas en core/datos/categorias_palabras.py.</w:t>
      </w:r>
    </w:p>
    <w:p>
      <w:pPr>
        <w:spacing w:after="40" w:before="200"/>
        <w:jc w:val="center"/>
      </w:pPr>
      <w:r/>
    </w:p>
    <w:p>
      <w:pPr>
        <w:spacing w:after="100" w:before="220" w:line="360" w:lineRule="auto"/>
        <w:jc w:val="left"/>
      </w:pPr>
      <w:r>
        <w:rPr>
          <w:rFonts w:ascii="Times New Roman" w:cs="Times New Roman" w:eastAsia="Times New Roman" w:hAnsi="Times New Roman"/>
          <w:b w:val="0"/>
          <w:bCs/>
          <w:sz w:val="24"/>
          <w:szCs w:val="24"/>
        </w:rPr>
        <w:t>El proceso completo de una predicción debería ir desde el cuadro de cámara hasta una representación numérica y después al modelo. En el repositorio actual la interfaz envía solicitudes a un backend esperado en `127.0.0.1:8765`, pero ese servidor no está incluido; por tanto, la cadena de inferencia todavía requiere integración y prueba de extremo a extremo.</w:t>
      </w:r>
    </w:p>
    <w:p>
      <w:pPr>
        <w:spacing w:after="120" w:before="0" w:line="360" w:lineRule="auto"/>
        <w:jc w:val="both"/>
      </w:pPr>
      <w:r>
        <w:rPr>
          <w:rFonts w:ascii="Times New Roman" w:cs="Times New Roman" w:eastAsia="Times New Roman" w:hAnsi="Times New Roman"/>
          <w:b w:val="false"/>
          <w:bCs w:val="false"/>
          <w:i w:val="false"/>
          <w:iCs w:val="false"/>
          <w:sz w:val="24"/>
          <w:szCs w:val="24"/>
        </w:rPr>
        <w:t>Antes de describir MediaPipe y la red neuronal es necesario precisar un punto básico: una computadora no procesa una muestra de la misma forma que una persona. Para una computadora, una dato en escala de grises es una matriz de números entre 0 (negro) y 255 (blanco); una dato a color son en realidad tres matrices superpuestas, una por canal (rojo, verde y azul). Una muestra común de 640×480 píxeles equivale, solo en un canal, a una matriz de 640 por 480 números: 307,200 valores por canal, casi un millón entre los tres. Esta idea puede visualizarse a escala reducida: una dato se representa como matriz de índices de color, con varios ejemplos adicionales de cómo cualquier dibujo simple (una ballena, una casa, un árbol) es, para la computadora, solo una tabla de números.</w:t>
      </w:r>
    </w:p>
    <w:p>
      <w:pPr>
        <w:spacing w:after="40" w:before="200"/>
        <w:jc w:val="center"/>
      </w:pPr>
      <w:r/>
    </w:p>
    <w:p>
      <w:pPr>
        <w:spacing w:after="120" w:before="0" w:line="360" w:lineRule="auto"/>
        <w:jc w:val="both"/>
      </w:pPr>
      <w:r>
        <w:rPr>
          <w:rFonts w:ascii="Times New Roman" w:cs="Times New Roman" w:eastAsia="Times New Roman" w:hAnsi="Times New Roman"/>
          <w:b w:val="false"/>
          <w:bCs w:val="false"/>
          <w:i w:val="false"/>
          <w:iCs w:val="false"/>
          <w:sz w:val="24"/>
          <w:szCs w:val="24"/>
        </w:rPr>
        <w:t>Las representaciones no fueron iguales en todos los experimentos. `successor_positions126` utiliza secuencias de 30 cuadros con 126 valores por cuadro; otras tareas registran 93, 226 u otras dimensiones. Cada resultado debe identificarse por su propia tarea y contrato de entrada.</w:t>
      </w:r>
    </w:p>
    <w:p>
      <w:pPr>
        <w:spacing w:after="40" w:before="200" w:line="360" w:lineRule="auto"/>
        <w:jc w:val="both"/>
      </w:pPr>
      <w:r>
        <w:rPr>
          <w:rFonts w:ascii="Times New Roman" w:hAnsi="Times New Roman" w:eastAsia="Times New Roman"/>
          <w:sz w:val="24"/>
        </w:rPr>
        <w:t>La configuración de manos y pose depende de la etapa y del experimento. No se debe trasladar la forma `(30, 93)` o `(30, 226)` a todos los modelos: el TCN vigente para `successor_positions126` trabaja con `(30, 126)`.</w:t>
      </w:r>
    </w:p>
    <w:p>
      <w:pPr>
        <w:spacing w:after="120" w:before="0" w:line="360" w:lineRule="auto"/>
        <w:jc w:val="both"/>
      </w:pPr>
      <w:r>
        <w:rPr>
          <w:rFonts w:ascii="Times New Roman" w:cs="Times New Roman" w:eastAsia="Times New Roman" w:hAnsi="Times New Roman"/>
          <w:b w:val="false"/>
          <w:bCs w:val="false"/>
          <w:i w:val="false"/>
          <w:iCs w:val="false"/>
          <w:sz w:val="24"/>
          <w:szCs w:val="24"/>
        </w:rPr>
        <w:t>El mismo principio aplica a cualquier dato, no solo a muestras de manos. Da igual si es la seña de una letra, una ballena de caricatura o un dibujo de una casa: para la computadora, todo se reduce a la misma estructura de números organizados en filas y columnas.</w:t>
      </w:r>
    </w:p>
    <w:p>
      <w:pPr>
        <w:spacing w:after="40" w:before="200" w:line="360" w:lineRule="auto"/>
        <w:jc w:val="both"/>
      </w:pPr>
      <w:r>
        <w:rPr>
          <w:rFonts w:ascii="Times New Roman" w:hAnsi="Times New Roman" w:eastAsia="Times New Roman"/>
          <w:sz w:val="24"/>
        </w:rPr>
        <w:t>Una muestra temporal puede organizarse como una secuencia de 30 cuadros consecutivos cuando la tarea lo requiere. Esta ventana representa movimiento; no es una propiedad universal de todas las muestras del repositorio.</w:t>
      </w:r>
    </w:p>
    <w:p>
      <w:pPr>
        <w:spacing w:after="120" w:before="0" w:line="360" w:lineRule="auto"/>
        <w:jc w:val="both"/>
      </w:pPr>
      <w:r>
        <w:rPr>
          <w:rFonts w:ascii="Times New Roman" w:cs="Times New Roman" w:eastAsia="Times New Roman" w:hAnsi="Times New Roman"/>
          <w:b w:val="false"/>
          <w:bCs w:val="false"/>
          <w:i w:val="false"/>
          <w:iCs w:val="false"/>
          <w:sz w:val="24"/>
          <w:szCs w:val="24"/>
        </w:rPr>
        <w:t>Entrenar una red directamente sobre esos casi un millón de números por muestra es posible, pero caro: hace falta mucho más cómputo y muchos más datos para que el modelo aprenda a ignorar todo lo que no es la mano: el fondo, la ropa, la iluminación, y se quede solo con la seña. Aquí es donde entra MediaPipe.</w:t>
      </w:r>
    </w:p>
    <w:p>
      <w:pPr>
        <w:spacing w:after="100" w:before="220" w:line="360" w:lineRule="auto"/>
        <w:jc w:val="left"/>
      </w:pPr>
      <w:r>
        <w:rPr>
          <w:rFonts w:ascii="Times New Roman" w:cs="Times New Roman" w:eastAsia="Times New Roman" w:hAnsi="Times New Roman"/>
          <w:b/>
          <w:bCs/>
          <w:sz w:val="24"/>
          <w:szCs w:val="24"/>
        </w:rPr>
        <w:t xml:space="preserve">6.3 MediaPipe: de la matriz de píxeles a 21 puntos por mano</w:t>
      </w:r>
    </w:p>
    <w:p>
      <w:pPr>
        <w:spacing w:after="120" w:before="0" w:line="360" w:lineRule="auto"/>
        <w:jc w:val="both"/>
      </w:pPr>
      <w:r>
        <w:rPr>
          <w:rFonts w:ascii="Times New Roman" w:cs="Times New Roman" w:eastAsia="Times New Roman" w:hAnsi="Times New Roman"/>
          <w:b w:val="false"/>
          <w:bCs w:val="false"/>
          <w:i w:val="false"/>
          <w:iCs w:val="false"/>
          <w:sz w:val="24"/>
          <w:szCs w:val="24"/>
        </w:rPr>
        <w:t>MediaPipe es una librería de visión por computadora desarrollada por Google. Su modelo HandLandmarker no fue entrenado por nosotros: es un modelo ya entrenado por Google con millones de datos de manos, y su única función es encontrar una mano dentro de la dato y devolver 21 puntos clave (keypoints) con sus coordenadas (x, y, z): 21 puntos por mano, con nombres e índices estandarizados (WRIST, THUMB_TIP, INDEX_TIP, entre otros). Cada dato o cuadro de video se procesó con este modelo, en su versión tasks-vision, que detecta hasta dos manos simultáneamente.</w:t>
      </w:r>
    </w:p>
    <w:p>
      <w:pPr>
        <w:spacing w:after="120" w:before="0" w:line="360" w:lineRule="auto"/>
        <w:jc w:val="both"/>
      </w:pPr>
      <w:r>
        <w:rPr>
          <w:rFonts w:ascii="Times New Roman" w:cs="Times New Roman" w:eastAsia="Times New Roman" w:hAnsi="Times New Roman"/>
          <w:b w:val="false"/>
          <w:bCs w:val="false"/>
          <w:i w:val="false"/>
          <w:iCs w:val="false"/>
          <w:sz w:val="24"/>
          <w:szCs w:val="24"/>
        </w:rPr>
        <w:t>Para el abecedario existen características de 93 valores por cuadro en una línea de extracción, mientras que `successor_positions126` utiliza 126 valores por cuadro. La representación debe coincidir exactamente entre entrenamiento e inferencia.</w:t>
      </w:r>
    </w:p>
    <w:p>
      <w:pPr>
        <w:spacing w:after="120" w:before="0" w:line="360" w:lineRule="auto"/>
        <w:jc w:val="both"/>
      </w:pPr>
      <w:r>
        <w:rPr>
          <w:rFonts w:ascii="Times New Roman" w:cs="Times New Roman" w:eastAsia="Times New Roman" w:hAnsi="Times New Roman"/>
          <w:b w:val="false"/>
          <w:bCs w:val="false"/>
          <w:i w:val="false"/>
          <w:iCs w:val="false"/>
          <w:sz w:val="24"/>
          <w:szCs w:val="24"/>
        </w:rPr>
        <w:t>Esto es la decisión de diseño más importante de todo el proyecto: en lugar de darle a nuestra red la muestra completa (casi un millón de números, la mayoría de ellos ruido irrelevante), le damos solamente 21 puntos por mano, 63 números en total (21 × 3 coordenadas). MediaPipe ya hizo el trabajo pesado de encontrar la mano entre todo lo demás; nuestra red solo tiene que aprender a distinguir una seña de otra a partir de esos 63 números, no a encontrar la mano dentro de la dato. Esa reducción es la razón directa por la que nuestro modelo final pesa apenas 45 KB en lugar de los varios megabytes que pesaría una red convolucional entrenada sobre datos completas: el propio modelo de MediaPipe, ya entrenado por Google, pesa 7.8 MB en su versión float16, y es él quien carga con la parte más pesada del problema de visión.</w:t>
      </w:r>
    </w:p>
    <w:p>
      <w:pPr>
        <w:spacing w:after="120" w:before="0" w:line="360" w:lineRule="auto"/>
        <w:jc w:val="both"/>
      </w:pPr>
      <w:r>
        <w:rPr>
          <w:rFonts w:ascii="Times New Roman" w:cs="Times New Roman" w:eastAsia="Times New Roman" w:hAnsi="Times New Roman"/>
          <w:b w:val="false"/>
          <w:bCs w:val="false"/>
          <w:i w:val="false"/>
          <w:iCs w:val="false"/>
          <w:sz w:val="24"/>
          <w:szCs w:val="24"/>
        </w:rPr>
        <w:t>Las muestras del abecedario se procesaron en modo IMAGE; las secuencias de palabras y las letras dinámicas, en modo VIDEO, ya que ese modo aprovecha la continuidad entre cuadros para un rastreo más estable. En una primera versión del pipeline se usó por error el modo VIDEO también para las muestras, lo que producía detecciones inconsistentes entre datos que no tenían relación temporal entre sí; corregir esa confusión de modos fue uno de los primeros ajustes necesarios.</w:t>
      </w:r>
    </w:p>
    <w:p>
      <w:pPr>
        <w:spacing w:after="120" w:before="0" w:line="360" w:lineRule="auto"/>
        <w:jc w:val="both"/>
      </w:pPr>
      <w:r>
        <w:rPr>
          <w:rFonts w:ascii="Times New Roman" w:cs="Times New Roman" w:eastAsia="Times New Roman" w:hAnsi="Times New Roman"/>
          <w:b w:val="false"/>
          <w:bCs w:val="false"/>
          <w:i w:val="false"/>
          <w:iCs w:val="false"/>
          <w:sz w:val="24"/>
          <w:szCs w:val="24"/>
        </w:rPr>
        <w:t>La configuración final fue: num_hands = 2, min_hand_detection_confidence = 0.3, min_tracking_confidence = 0.5. Para el abecedario se usó una sola mano (63 keypoints); para palabras se usaron ambas manos más pose corporal y rasgos faciales, sumando 226 keypoints por cuadro: 126 de manos, 52 de pose y 48 de cara, como se desglosa a continuación.</w:t>
      </w:r>
    </w:p>
    <w:p>
      <w:pPr>
        <w:spacing w:after="40" w:before="200"/>
        <w:jc w:val="center"/>
      </w:pPr>
      <w:r/>
    </w:p>
    <w:p>
      <w:pPr>
        <w:spacing w:after="100" w:before="220" w:line="360" w:lineRule="auto"/>
        <w:jc w:val="left"/>
      </w:pPr>
      <w:r>
        <w:rPr>
          <w:rFonts w:ascii="Times New Roman" w:cs="Times New Roman" w:eastAsia="Times New Roman" w:hAnsi="Times New Roman"/>
          <w:b/>
          <w:bCs/>
          <w:sz w:val="24"/>
          <w:szCs w:val="24"/>
        </w:rPr>
        <w:t xml:space="preserve">6.4 Normalización y generación de features</w:t>
      </w:r>
    </w:p>
    <w:p>
      <w:pPr>
        <w:spacing w:after="120" w:before="0" w:line="360" w:lineRule="auto"/>
        <w:jc w:val="both"/>
      </w:pPr>
      <w:r>
        <w:rPr>
          <w:rFonts w:ascii="Times New Roman" w:cs="Times New Roman" w:eastAsia="Times New Roman" w:hAnsi="Times New Roman"/>
          <w:b w:val="false"/>
          <w:bCs w:val="false"/>
          <w:i w:val="false"/>
          <w:iCs w:val="false"/>
          <w:sz w:val="24"/>
          <w:szCs w:val="24"/>
        </w:rPr>
        <w:t>Cada muestra de entrada al modelo no es un solo cuadro, sino una secuencia de 30 cuadros consecutivos, aproximadamente un segundo de video a 30 cuadros por segundo, lo que le permite a la red observar el movimiento, no solo una postura estática. El valor de 30 se eligió por dos razones prácticas: es suficiente para registror el gesto completo de las letras dinámicas más lentas observadas durante la recolección, y mantiene el tensor de entrada en un tamaño manejable para entrenar en la máquina disponible; secuencias más largas (60 u 80 cuadros) se probaron informalmente y no mejoraron el accuracy lo suficiente para justificar el costo de cómputo adicional.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La función que normaliza cada mano, de forma simplificada, es la siguiente:</w:t>
      </w:r>
    </w:p>
    <w:p>
      <w:pPr>
        <w:pBdr>
          <w:top w:val="single" w:color="CCCCCC" w:sz="4"/>
          <w:bottom w:val="single" w:color="CCCCCC" w:sz="4"/>
          <w:left w:val="single" w:color="CCCCCC" w:sz="4"/>
          <w:right w:val="single" w:color="CCCCCC" w:sz="4"/>
        </w:pBdr>
        <w:shd w:fill="F5F5F5" w:val="clear"/>
        <w:spacing w:after="200" w:before="120" w:line="300" w:lineRule="auto"/>
      </w:pPr>
      <w:r>
        <w:rPr>
          <w:rFonts w:ascii="Courier New" w:cs="Courier New" w:eastAsia="Courier New" w:hAnsi="Courier New"/>
          <w:color w:val="333333"/>
          <w:sz w:val="18"/>
          <w:szCs w:val="18"/>
        </w:rPr>
        <w:t xml:space="preserve">def normalizar_mano(keypoints):</w:t>
        <w:br/>
        <w:t xml:space="preserve">    muneca = keypoints[0]</w:t>
        <w:br/>
        <w:t xml:space="preserve">    nudillo_medio = keypoints[9]</w:t>
        <w:br/>
        <w:t xml:space="preserve">    escala = distancia(muneca, nudillo_medio)</w:t>
        <w:br/>
        <w:t xml:space="preserve">    centrados = keypoints - muneca</w:t>
        <w:br/>
        <w:t xml:space="preserve">    normalizados = centrados / escala</w:t>
        <w:br/>
        <w:t xml:space="preserve">    return normalizados</w:t>
      </w:r>
    </w:p>
    <w:p>
      <w:pPr>
        <w:spacing w:after="120" w:before="0" w:line="360" w:lineRule="auto"/>
        <w:jc w:val="both"/>
      </w:pPr>
      <w:r>
        <w:rPr>
          <w:rFonts w:ascii="Times New Roman" w:cs="Times New Roman" w:eastAsia="Times New Roman" w:hAnsi="Times New Roman"/>
          <w:b w:val="false"/>
          <w:bCs w:val="false"/>
          <w:i w:val="false"/>
          <w:iCs w:val="false"/>
          <w:sz w:val="24"/>
          <w:szCs w:val="24"/>
        </w:rPr>
        <w:t>Una convolución temporal puede detectar patrones locales entre cuadros cercanos. La línea PyTorch vigente añade bloques temporales residuales y pooling; la arquitectura no debe describirse como Conv1D+BiLSTM para todos los experimentos.</w:t>
      </w:r>
    </w:p>
    <w:p>
      <w:pPr>
        <w:spacing w:after="120" w:before="0" w:line="360" w:lineRule="auto"/>
        <w:jc w:val="both"/>
      </w:pPr>
      <w:r>
        <w:rPr>
          <w:rFonts w:ascii="Times New Roman" w:cs="Times New Roman" w:eastAsia="Times New Roman" w:hAnsi="Times New Roman"/>
          <w:b w:val="false"/>
          <w:bCs w:val="false"/>
          <w:i w:val="false"/>
          <w:iCs w:val="false"/>
          <w:sz w:val="24"/>
          <w:szCs w:val="24"/>
        </w:rPr>
        <w:t>La arquitectura y la representación empleadas no fueron idénticas en todas las líneas. El modelo vigente de investigación es un TCN temporal; las referencias a BiLSTM pertenecen a una versión anterior del protocolo y no al checkpoint actual.</w:t>
      </w:r>
    </w:p>
    <w:p>
      <w:pPr>
        <w:spacing w:after="100" w:before="220" w:line="360" w:lineRule="auto"/>
        <w:jc w:val="left"/>
      </w:pPr>
      <w:r>
        <w:rPr>
          <w:rFonts w:ascii="Times New Roman" w:cs="Times New Roman" w:eastAsia="Times New Roman" w:hAnsi="Times New Roman"/>
          <w:b w:val="0"/>
          <w:bCs/>
          <w:sz w:val="24"/>
          <w:szCs w:val="24"/>
        </w:rPr>
        <w:t>Finalmente, una cabeza lineal produce logits para las clases disponibles. La aplicación debe aplicar un umbral, estabilización y una política de rechazo antes de convertir una salida incierta en texto.</w:t>
      </w:r>
    </w:p>
    <w:p>
      <w:pPr>
        <w:spacing w:after="120" w:before="0" w:line="360" w:lineRule="auto"/>
        <w:jc w:val="both"/>
      </w:pPr>
      <w:r>
        <w:rPr>
          <w:rFonts w:ascii="Times New Roman" w:cs="Times New Roman" w:eastAsia="Times New Roman" w:hAnsi="Times New Roman"/>
          <w:b w:val="false"/>
          <w:bCs w:val="false"/>
          <w:i w:val="false"/>
          <w:iCs w:val="false"/>
          <w:sz w:val="24"/>
          <w:szCs w:val="24"/>
        </w:rPr>
        <w:t>El flujo completo del modelo debe ir desde la representación de entrada hasta los logits de cada clase. En la interfaz vigente, las letras o palabras no llegan todavía desde un backend de inferencia incluido en el repositorio.</w:t>
      </w:r>
    </w:p>
    <w:p>
      <w:pPr>
        <w:spacing w:after="120" w:before="0" w:line="360" w:lineRule="auto"/>
        <w:jc w:val="both"/>
      </w:pPr>
      <w:r>
        <w:rPr>
          <w:rFonts w:ascii="Times New Roman" w:cs="Times New Roman" w:eastAsia="Times New Roman" w:hAnsi="Times New Roman"/>
          <w:b w:val="false"/>
          <w:bCs w:val="false"/>
          <w:i w:val="false"/>
          <w:iCs w:val="false"/>
          <w:sz w:val="24"/>
          <w:szCs w:val="24"/>
        </w:rPr>
        <w:t>El efecto de estas transformaciones es acumulativo: una misma muestra original puede generar decenas de variantes distintas combinando traslación, rotación y escalado, como en cualquier técnica de aumento de datos.</w:t>
      </w:r>
    </w:p>
    <w:p>
      <w:pPr>
        <w:spacing w:after="40" w:before="200"/>
        <w:jc w:val="center"/>
      </w:pPr>
      <w:r/>
    </w:p>
    <w:p>
      <w:pPr>
        <w:spacing w:after="120" w:before="0" w:line="360" w:lineRule="auto"/>
        <w:jc w:val="both"/>
      </w:pPr>
      <w:r>
        <w:rPr>
          <w:rFonts w:ascii="Times New Roman" w:cs="Times New Roman" w:eastAsia="Times New Roman" w:hAnsi="Times New Roman"/>
          <w:b w:val="false"/>
          <w:bCs w:val="false"/>
          <w:i w:val="false"/>
          <w:iCs w:val="false"/>
          <w:sz w:val="24"/>
          <w:szCs w:val="24"/>
        </w:rPr>
        <w:t>El repositorio contiene varias familias de modelos y representaciones. Para `successor_positions126`, la entrada tiene forma (30, 126), es decir, 30 cuadros por muestra y 126 valores por cuadro. También existen variantes para otras tareas y dimensiones.</w:t>
      </w:r>
    </w:p>
    <w:p>
      <w:pPr>
        <w:spacing w:after="100" w:before="220" w:line="360" w:lineRule="auto"/>
        <w:jc w:val="left"/>
      </w:pPr>
      <w:r>
        <w:rPr>
          <w:rFonts w:ascii="Times New Roman" w:cs="Times New Roman" w:eastAsia="Times New Roman" w:hAnsi="Times New Roman"/>
          <w:b w:val="0"/>
          <w:bCs/>
          <w:sz w:val="24"/>
          <w:szCs w:val="24"/>
        </w:rPr>
        <w:t>La arquitectura vigente de investigación es un TCN temporal: usa convoluciones 1D, bloques residuales con dilataciones y pooling temporal antes de la cabeza de clasificación. La fábrica de modelos también conserva variantes experimentales; no existe una única arquitectura final para todo el vocabulario.</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Una red neuronal es una función matemática construida a partir de capas de funciones simples encadenadas, cada una con parámetros ajustables llamados pesos. Al inicio del entrenamiento estos pesos se inicializan de forma aleatoria, por lo que el modelo produce predicciones incorrectas. En cada iteración, el sistema compara su predicción con la etiqueta real mediante una función de pérdida (loss), y un algoritmo de optimización (en este caso, Adam) ajusta los pesos en la dirección que reduce dicho error. Tras un número suficiente de iteraciones sobre el conjunto de entrenamiento, la red converge hacia parámetros capaces de reconocer patrones consistentes en los datos, en este caso la forma y el movimiento de la mano durante una seña.</w:t>
      </w:r>
    </w:p>
    <w:p>
      <w:pPr>
        <w:spacing w:after="120" w:before="0" w:line="360" w:lineRule="auto"/>
        <w:jc w:val="both"/>
      </w:pPr>
      <w:r>
        <w:rPr>
          <w:rFonts w:ascii="Times New Roman" w:cs="Times New Roman" w:eastAsia="Times New Roman" w:hAnsi="Times New Roman"/>
          <w:b w:val="false"/>
          <w:bCs w:val="false"/>
          <w:i w:val="false"/>
          <w:iCs w:val="false"/>
          <w:sz w:val="24"/>
          <w:szCs w:val="24"/>
        </w:rPr>
        <w:t>El experimento `successor_positions126` registra AdamW, tasa de aprendizaje 0.002, weight decay 0.0001, 40 épocas máximas, paciencia 8, semilla 42 y dispositivo CPU en las métricas guardadas. Su entrada es `(30, 126)` y sus particiones son 1,675/379/393.</w:t>
      </w:r>
    </w:p>
    <w:p>
      <w:pPr>
        <w:spacing w:after="40" w:before="200" w:line="360" w:lineRule="auto"/>
        <w:jc w:val="both"/>
      </w:pPr>
      <w:r>
        <w:rPr>
          <w:rFonts w:ascii="Times New Roman" w:hAnsi="Times New Roman" w:eastAsia="Times New Roman"/>
          <w:sz w:val="24"/>
        </w:rPr>
        <w:t>Las corridas no comparten una única configuración. Para compararlas se deben registrar tarea, manifiesto, participantes, separación, semilla, dispositivo, forma de entrada, número de clases, checkpoint y métricas completas.</w:t>
      </w:r>
    </w:p>
    <w:p>
      <w:pPr>
        <w:spacing w:after="120" w:before="0" w:line="360" w:lineRule="auto"/>
        <w:jc w:val="both"/>
      </w:pPr>
      <w:r>
        <w:rPr>
          <w:rFonts w:ascii="Times New Roman" w:cs="Times New Roman" w:eastAsia="Times New Roman" w:hAnsi="Times New Roman"/>
          <w:b w:val="false"/>
          <w:bCs w:val="false"/>
          <w:i w:val="false"/>
          <w:iCs w:val="false"/>
          <w:sz w:val="24"/>
          <w:szCs w:val="24"/>
        </w:rPr>
        <w:t>Apiladas en secuencia, muchas neuronas forman capas, y muchas capas forman la red completa. Cada capa recibe la salida de la anterior y aprende una representación distinta: las primeras capas suelen detectar patrones simples, como cambios bruscos de posición, mientras que las capas más profundas combinan esos patrones simples en conceptos más abstractos, hasta llegar a algo tan específico como "esto es la letra A". La Figura 4 ilustra de forma esquemática esta transformación progresiva.</w:t>
      </w:r>
    </w:p>
    <w:p>
      <w:pPr>
        <w:spacing w:after="40" w:before="200" w:line="360" w:lineRule="auto"/>
        <w:jc w:val="both"/>
      </w:pPr>
      <w:r>
        <w:rPr>
          <w:rFonts w:ascii="Times New Roman" w:hAnsi="Times New Roman" w:eastAsia="Times New Roman"/>
          <w:sz w:val="24"/>
        </w:rPr>
        <w:t>La extracción de características puede paralelizarse, pero el uso de una GPU o de varios núcleos no garantiza un buen resultado. La reproducibilidad requiere registrar el entorno, los datos utilizados y los comandos exactos de cada corrida.</w:t>
      </w:r>
    </w:p>
    <w:p>
      <w:pPr>
        <w:spacing w:after="120" w:before="0" w:line="360" w:lineRule="auto"/>
        <w:jc w:val="both"/>
      </w:pPr>
      <w:r>
        <w:rPr>
          <w:rFonts w:ascii="Times New Roman" w:cs="Times New Roman" w:eastAsia="Times New Roman" w:hAnsi="Times New Roman"/>
          <w:b w:val="false"/>
          <w:bCs w:val="false"/>
          <w:i w:val="false"/>
          <w:iCs w:val="false"/>
          <w:sz w:val="24"/>
          <w:szCs w:val="24"/>
        </w:rPr>
        <w:t>La primera operación especializada de nuestra red es una convolución 1D (Conv1D), que detecta patrones locales de movimiento entre cuadros cercanos: un filtro pequeño recorre la secuencia buscando la misma estructura, por ejemplo un dedo doblándose, sin importar en qué momento exacto de la seña ocurra. Esto es clave para las letras dinámicas, donde el mismo gesto puede empezar un poco antes o después según la persona (Figura 4).</w:t>
      </w:r>
    </w:p>
    <w:p>
      <w:pPr>
        <w:spacing w:after="40" w:before="200" w:line="360" w:lineRule="auto"/>
        <w:jc w:val="both"/>
      </w:pPr>
      <w:r>
        <w:rPr>
          <w:rFonts w:ascii="Times New Roman" w:hAnsi="Times New Roman" w:eastAsia="Times New Roman"/>
          <w:sz w:val="24"/>
        </w:rPr>
        <w:t>La evaluación debe conservar accuracy, precisión, recall, macro-F1 y matriz de confusión cuando estén disponibles. La conversión a TFLite no puede presentarse como parte del flujo vigente si el runtime exportado no está conectado a la interfaz.</w:t>
      </w:r>
    </w:p>
    <w:p>
      <w:pPr>
        <w:spacing w:after="120" w:before="0" w:line="360" w:lineRule="auto"/>
        <w:jc w:val="both"/>
      </w:pPr>
      <w:r>
        <w:rPr>
          <w:rFonts w:ascii="Times New Roman" w:cs="Times New Roman" w:eastAsia="Times New Roman" w:hAnsi="Times New Roman"/>
          <w:b w:val="false"/>
          <w:bCs w:val="false"/>
          <w:i w:val="false"/>
          <w:iCs w:val="false"/>
          <w:sz w:val="24"/>
          <w:szCs w:val="24"/>
        </w:rPr>
        <w:t>Después de las capas convolucionales, una BiLSTM integra el contexto temporal completo de la secuencia. A diferencia de una LSTM normal, que solo lee hacia adelante, la BiLSTM la recorre en ambas direcciones y combina lo que aprendió en cada sentido: así, para clasificar un cuadro en la mitad de la seña, la red ya sabe tanto cómo empezó el gesto como hacia dónde va (Figura 4).</w:t>
      </w:r>
    </w:p>
    <w:p>
      <w:pPr>
        <w:spacing w:after="40" w:before="200" w:line="360" w:lineRule="auto"/>
        <w:jc w:val="both"/>
      </w:pPr>
      <w:r>
        <w:rPr>
          <w:rFonts w:ascii="Times New Roman" w:hAnsi="Times New Roman" w:eastAsia="Times New Roman"/>
          <w:sz w:val="24"/>
        </w:rPr>
        <w:t>Se consideraron representaciones de imagen completa y representaciones de puntos clave. La línea vigente de investigación utiliza un TCN PyTorch temporal; la arquitectura Conv1D+BiLSTM y el runtime TensorFlow/TFLite pertenecen a líneas anteriores o heredadas.</w:t>
      </w:r>
    </w:p>
    <w:p>
      <w:pPr>
        <w:spacing w:after="120" w:before="0" w:line="360" w:lineRule="auto"/>
        <w:jc w:val="both"/>
      </w:pPr>
      <w:r>
        <w:rPr>
          <w:rFonts w:ascii="Times New Roman" w:cs="Times New Roman" w:eastAsia="Times New Roman" w:hAnsi="Times New Roman"/>
          <w:b w:val="false"/>
          <w:bCs w:val="false"/>
          <w:i w:val="false"/>
          <w:iCs w:val="false"/>
          <w:sz w:val="24"/>
          <w:szCs w:val="24"/>
        </w:rPr>
        <w:t>Finalmente, una capa densa con activación softmax convierte toda esa información en una probabilidad para cada una de las 26 letras. Softmax garantiza que esas probabilidades sumen 1, así que el sistema no solo dice cuál letra reconoció, sino qué tan seguro está: una predicción de 98% para la letra A es muy distinta de una de 40%, aunque ambas resulten en la misma letra final (Figura 4).</w:t>
      </w:r>
    </w:p>
    <w:p>
      <w:pPr>
        <w:spacing w:after="40" w:before="200"/>
        <w:jc w:val="center"/>
      </w:pPr>
      <w:r/>
    </w:p>
    <w:p>
      <w:pPr>
        <w:spacing w:after="120" w:before="0" w:line="360" w:lineRule="auto"/>
        <w:jc w:val="both"/>
      </w:pPr>
      <w:r>
        <w:rPr>
          <w:rFonts w:ascii="Times New Roman" w:cs="Times New Roman" w:eastAsia="Times New Roman" w:hAnsi="Times New Roman"/>
          <w:b w:val="false"/>
          <w:bCs w:val="false"/>
          <w:i w:val="false"/>
          <w:iCs w:val="false"/>
          <w:sz w:val="24"/>
          <w:szCs w:val="24"/>
        </w:rPr>
        <w:t>La estructura vigente separa la interfaz React/Vite en `app/`, la extracción y visión en `core/`, los modelos y entrenadores PyTorch en `entrenador/`, los manifiestos en `dataset/` y los reportes en `docs/`. Las rutas bajo `_desactualizado/` no representan la integración actual.</w:t>
      </w:r>
    </w:p>
    <w:p>
      <w:pPr>
        <w:spacing w:after="40" w:before="200"/>
        <w:jc w:val="center"/>
      </w:pPr>
      <w:r/>
    </w:p>
    <w:p>
      <w:pPr>
        <w:spacing w:after="120" w:before="0" w:line="360" w:lineRule="auto"/>
        <w:jc w:val="both"/>
      </w:pPr>
      <w:r>
        <w:rPr>
          <w:rFonts w:ascii="Times New Roman" w:cs="Times New Roman" w:eastAsia="Times New Roman" w:hAnsi="Times New Roman"/>
          <w:b w:val="false"/>
          <w:bCs w:val="false"/>
          <w:i w:val="false"/>
          <w:iCs w:val="false"/>
          <w:sz w:val="24"/>
          <w:szCs w:val="24"/>
        </w:rPr>
        <w:t>Otra forma de ilustrar lo que ocurre dentro de la red es observar cómo reorganiza el espacio de entrada: al pasar por las capas, las 93 features originales de cada cuadro se transforman en una representación interna donde las señas de clases distintas quedan más separadas entre sí. La Figura 4 ofrece una representación conceptual de esta arquitectura.</w:t>
      </w:r>
    </w:p>
    <w:p>
      <w:pPr>
        <w:spacing w:after="40" w:before="200"/>
        <w:jc w:val="center"/>
      </w:pPr>
      <w:r/>
    </w:p>
    <w:p>
      <w:pPr>
        <w:spacing w:after="40" w:before="200"/>
        <w:jc w:val="center"/>
      </w:pPr>
      <w:r>
        <w:drawing>
          <wp:inline xmlns:a="http://schemas.openxmlformats.org/drawingml/2006/main" xmlns:pic="http://schemas.openxmlformats.org/drawingml/2006/picture">
            <wp:extent cx="5486400" cy="1230000"/>
            <wp:docPr id="7" name="Picture"/>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486400" cy="1230000"/>
                    </a:xfrm>
                    <a:prstGeom prst="rect"/>
                  </pic:spPr>
                </pic:pic>
              </a:graphicData>
            </a:graphic>
          </wp:inline>
        </w:drawing>
      </w:r>
    </w:p>
    <w:p>
      <w:pPr>
        <w:spacing w:after="200" w:before="40"/>
        <w:jc w:val="center"/>
      </w:pPr>
      <w:r>
        <w:rPr>
          <w:i/>
          <w:iCs/>
          <w:sz w:val="20"/>
          <w:szCs w:val="20"/>
        </w:rPr>
        <w:t xml:space="preserve">Figura 4. Esquema conceptual de la arquitectura Conv1D+BiLSTM (modelo de abecedario, heredada). No representa la arquitectura TCN vigente descrita en la sección 6.7.</w:t>
      </w:r>
    </w:p>
    <w:p>
      <w:pPr>
        <w:spacing w:after="100" w:before="220" w:line="360" w:lineRule="auto"/>
        <w:jc w:val="left"/>
      </w:pPr>
      <w:r>
        <w:rPr>
          <w:rFonts w:ascii="Times New Roman" w:cs="Times New Roman" w:eastAsia="Times New Roman" w:hAnsi="Times New Roman"/>
          <w:b/>
          <w:bCs/>
          <w:sz w:val="24"/>
          <w:szCs w:val="24"/>
        </w:rPr>
        <w:t xml:space="preserve">6.7 Arquitectura del modelo</w:t>
      </w:r>
    </w:p>
    <w:p>
      <w:pPr>
        <w:spacing w:after="120" w:before="0" w:line="360" w:lineRule="auto"/>
        <w:jc w:val="both"/>
      </w:pPr>
      <w:r>
        <w:rPr>
          <w:rFonts w:ascii="Times New Roman" w:cs="Times New Roman" w:eastAsia="Times New Roman" w:hAnsi="Times New Roman"/>
          <w:b w:val="false"/>
          <w:bCs w:val="false"/>
          <w:i w:val="false"/>
          <w:iCs w:val="false"/>
          <w:sz w:val="24"/>
          <w:szCs w:val="24"/>
        </w:rPr>
        <w:t>El reporte de `successor_positions126` utiliza una entrada `(30, 126)` y 249 etiquetas. El TCN PyTorch procesa la secuencia temporal; otras tareas del repositorio usan distintas dimensiones y no deben mezclarse con este experimento.</w:t>
      </w:r>
    </w:p>
    <w:p>
      <w:pPr>
        <w:spacing w:after="40" w:before="200"/>
        <w:jc w:val="center"/>
      </w:pPr>
      <w:r/>
    </w:p>
    <w:p>
      <w:pPr>
        <w:spacing w:after="120" w:before="0" w:line="360" w:lineRule="auto"/>
        <w:jc w:val="both"/>
      </w:pPr>
      <w:r>
        <w:rPr>
          <w:rFonts w:ascii="Times New Roman" w:cs="Times New Roman" w:eastAsia="Times New Roman" w:hAnsi="Times New Roman"/>
          <w:b w:val="false"/>
          <w:bCs w:val="false"/>
          <w:i w:val="false"/>
          <w:iCs w:val="false"/>
          <w:sz w:val="24"/>
          <w:szCs w:val="24"/>
        </w:rPr>
        <w:t>La arquitectura `TemporalTCN` aplica convoluciones temporales, bloques residuales con dilataciones y pooling temporal adaptativo antes de la clasificación. El checkpoint y sus métricas deben identificarse por tarea; no se debe presentar la arquitectura antigua Conv1D+BiLSTM como la vigente.</w:t>
      </w:r>
    </w:p>
    <w:p>
      <w:pPr>
        <w:spacing w:after="100" w:before="220" w:line="360" w:lineRule="auto"/>
        <w:jc w:val="left"/>
      </w:pPr>
      <w:r>
        <w:rPr>
          <w:rFonts w:ascii="Times New Roman" w:cs="Times New Roman" w:eastAsia="Times New Roman" w:hAnsi="Times New Roman"/>
          <w:b/>
          <w:bCs/>
          <w:sz w:val="24"/>
          <w:szCs w:val="24"/>
        </w:rPr>
        <w:t xml:space="preserve">6.8 Entrenamiento</w:t>
      </w:r>
    </w:p>
    <w:p>
      <w:pPr>
        <w:spacing w:after="120" w:before="0" w:line="360" w:lineRule="auto"/>
        <w:jc w:val="both"/>
      </w:pPr>
      <w:r>
        <w:rPr>
          <w:rFonts w:ascii="Times New Roman" w:cs="Times New Roman" w:eastAsia="Times New Roman" w:hAnsi="Times New Roman"/>
          <w:b w:val="false"/>
          <w:bCs w:val="false"/>
          <w:i w:val="false"/>
          <w:iCs w:val="false"/>
          <w:sz w:val="24"/>
          <w:szCs w:val="24"/>
        </w:rPr>
        <w:t>El entrenamiento registrado para `successor_positions126` utilizó 249 etiquetas, entrada de 30 cuadros por 126 valores y las particiones 1,675/379/393. La prueba obtuvo 0% de accuracy y 0% de macro-F1 sobre 393 muestras. El checkpoint MSL-ABC es otra corrida: tiene 74 clases y quedó interrumpido durante la primera época.</w:t>
      </w:r>
    </w:p>
    <w:p>
      <w:pPr>
        <w:spacing w:after="40" w:before="200"/>
        <w:jc w:val="center"/>
      </w:pPr>
      <w:r/>
    </w:p>
    <w:p>
      <w:pPr>
        <w:spacing w:after="120" w:before="0" w:line="360" w:lineRule="auto"/>
        <w:jc w:val="both"/>
      </w:pPr>
      <w:r>
        <w:rPr>
          <w:rFonts w:ascii="Times New Roman" w:cs="Times New Roman" w:eastAsia="Times New Roman" w:hAnsi="Times New Roman"/>
          <w:b w:val="false"/>
          <w:bCs w:val="false"/>
          <w:i w:val="false"/>
          <w:iCs w:val="false"/>
          <w:sz w:val="24"/>
          <w:szCs w:val="24"/>
        </w:rPr>
        <w:t>Los reportes conservan configuraciones diferentes de partición y entrenamiento. Para que los resultados sean comparables, las nuevas corridas deberán registrar de forma explícita la semilla, los participantes, la separación por firmante, la forma de entrada, el dispositivo, el checkpoint y las métricas.</w:t>
      </w:r>
    </w:p>
    <w:p>
      <w:pPr>
        <w:spacing w:after="40" w:before="200"/>
        <w:jc w:val="center"/>
      </w:pPr>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000"/>
            <w:shd w:fill="1565C0"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Hiperparámetro</w:t>
            </w:r>
          </w:p>
        </w:tc>
        <w:tc>
          <w:tcPr>
            <w:tcW w:type="dxa" w:w="5000"/>
            <w:shd w:fill="1565C0"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Valor</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Optimizador</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AdamW</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Tasa de aprendizaje inicial</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0.002 (successor_positions126)</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Función de pérdida</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CrossEntropyLoss</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Batch size</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8 (corrida registrada)</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Épocas máximas</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40 máximas; paciencia 8</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ReduceLROnPlateau</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No aplica a esta corrida según el reporte</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División de datos</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1,675 / 379 / 393 muestras</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Longitud de secuencia</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30 cuadros por muestra</w:t>
            </w:r>
          </w:p>
        </w:tc>
      </w:tr>
    </w:tbl>
    <w:p>
      <w:pPr>
        <w:spacing w:after="260" w:before="80" w:line="360" w:lineRule="auto"/>
        <w:jc w:val="both"/>
      </w:pPr>
      <w:r>
        <w:rPr>
          <w:rFonts w:ascii="Times New Roman" w:cs="Times New Roman" w:eastAsia="Times New Roman" w:hAnsi="Times New Roman"/>
          <w:i/>
          <w:iCs/>
          <w:color w:val="666666"/>
          <w:sz w:val="18"/>
          <w:szCs w:val="18"/>
        </w:rPr>
        <w:t xml:space="preserve">Tabla 2. Hiperparámetros de entrenamiento utilizados para ambos modelos.</w:t>
      </w:r>
    </w:p>
    <w:p>
      <w:pPr>
        <w:spacing w:after="120" w:before="0" w:line="360" w:lineRule="auto"/>
        <w:jc w:val="both"/>
      </w:pPr>
      <w:r>
        <w:rPr>
          <w:rFonts w:ascii="Times New Roman" w:cs="Times New Roman" w:eastAsia="Times New Roman" w:hAnsi="Times New Roman"/>
          <w:b w:val="false"/>
          <w:bCs w:val="false"/>
          <w:i w:val="false"/>
          <w:iCs w:val="false"/>
          <w:sz w:val="24"/>
          <w:szCs w:val="24"/>
        </w:rPr>
        <w:t>La extracción de características puede paralelizarse, pero el uso de una GPU o de varios núcleos no garantiza por sí mismo un buen resultado. La reproducibilidad requiere registrar el entorno, las versiones, los datos y los comandos exactos.</w:t>
      </w:r>
    </w:p>
    <w:p>
      <w:pPr>
        <w:spacing w:after="100" w:before="220" w:line="360" w:lineRule="auto"/>
        <w:jc w:val="left"/>
      </w:pPr>
      <w:r>
        <w:rPr>
          <w:rFonts w:ascii="Times New Roman" w:cs="Times New Roman" w:eastAsia="Times New Roman" w:hAnsi="Times New Roman"/>
          <w:b/>
          <w:bCs/>
          <w:sz w:val="24"/>
          <w:szCs w:val="24"/>
        </w:rPr>
        <w:t xml:space="preserve">6.9 Evaluación y exportación</w:t>
      </w:r>
    </w:p>
    <w:p>
      <w:pPr>
        <w:spacing w:after="120" w:before="0" w:line="360" w:lineRule="auto"/>
        <w:jc w:val="both"/>
      </w:pPr>
      <w:r>
        <w:rPr>
          <w:rFonts w:ascii="Times New Roman" w:cs="Times New Roman" w:eastAsia="Times New Roman" w:hAnsi="Times New Roman"/>
          <w:b w:val="false"/>
          <w:bCs w:val="false"/>
          <w:i w:val="false"/>
          <w:iCs w:val="false"/>
          <w:sz w:val="24"/>
          <w:szCs w:val="24"/>
        </w:rPr>
        <w:t>Se deben conservar las métricas y la matriz de confusión de cada experimento. La exportación a TFLite es una tarea pendiente o heredada, no evidencia de que el TCN actual ya funcione dentro de la interfaz.</w:t>
      </w:r>
    </w:p>
    <w:p>
      <w:pPr>
        <w:spacing w:after="40" w:before="200"/>
        <w:jc w:val="center"/>
      </w:pPr>
      <w:r/>
    </w:p>
    <w:p>
      <w:pPr>
        <w:spacing w:after="100" w:before="220" w:line="360" w:lineRule="auto"/>
        <w:jc w:val="left"/>
      </w:pPr>
      <w:r>
        <w:rPr>
          <w:rFonts w:ascii="Times New Roman" w:cs="Times New Roman" w:eastAsia="Times New Roman" w:hAnsi="Times New Roman"/>
          <w:b/>
          <w:bCs/>
          <w:sz w:val="24"/>
          <w:szCs w:val="24"/>
        </w:rPr>
        <w:t xml:space="preserve">6.10 Alternativas de diseño consideradas y descartadas</w:t>
      </w:r>
    </w:p>
    <w:p>
      <w:pPr>
        <w:spacing w:after="120" w:before="0" w:line="360" w:lineRule="auto"/>
        <w:jc w:val="both"/>
      </w:pPr>
      <w:r>
        <w:rPr>
          <w:rFonts w:ascii="Times New Roman" w:cs="Times New Roman" w:eastAsia="Times New Roman" w:hAnsi="Times New Roman"/>
          <w:b w:val="false"/>
          <w:bCs w:val="false"/>
          <w:i w:val="false"/>
          <w:iCs w:val="false"/>
          <w:sz w:val="24"/>
          <w:szCs w:val="24"/>
        </w:rPr>
        <w:t>Antes de fijar una línea se consideraron imágenes completas, SVM sobre keypoints y modelos temporales. La línea PyTorch vigente utiliza un TCN; otras arquitecturas se conservan como antecedentes y no como el modelo desplegado.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fill="1565C0"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Enfoque</w:t>
            </w:r>
          </w:p>
        </w:tc>
        <w:tc>
          <w:tcPr>
            <w:tcW w:type="dxa" w:w="3500"/>
            <w:shd w:fill="1565C0"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Ventaja</w:t>
            </w:r>
          </w:p>
        </w:tc>
        <w:tc>
          <w:tcPr>
            <w:tcW w:type="dxa" w:w="3500"/>
            <w:shd w:fill="1565C0"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Motivo de la decisión</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CNN 2D sobre dato completa</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No requiere MediaPipe; puede aprender features propias</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Requiere muchos más datos y cómputo; no es la ruta conectada a la interfaz.</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SVM sobre keypoints</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Simple de entrenar, pocos hiperparámetros</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No modela bien la dinámica temporal; se conserva como alternativa histórica.</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TCN temporal PyTorch (vigente en la investigación)</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Modela patrones temporales con bloques residuales y pooling.</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Es la línea vigente del entrenador, pero aún requiere backend y evaluación final.</w:t>
            </w:r>
          </w:p>
        </w:tc>
      </w:tr>
    </w:tbl>
    <w:p>
      <w:pPr>
        <w:spacing w:after="260" w:before="80" w:line="360" w:lineRule="auto"/>
        <w:jc w:val="both"/>
      </w:pPr>
      <w:r>
        <w:rPr>
          <w:rFonts w:ascii="Times New Roman" w:cs="Times New Roman" w:eastAsia="Times New Roman" w:hAnsi="Times New Roman"/>
          <w:i/>
          <w:iCs/>
          <w:color w:val="666666"/>
          <w:sz w:val="18"/>
          <w:szCs w:val="18"/>
        </w:rPr>
        <w:t xml:space="preserve">Tabla 3. Comparación de los enfoques considerados para la clasificación de señas.</w:t>
      </w:r>
    </w:p>
    <w:p>
      <w:pPr>
        <w:spacing w:after="100" w:before="220" w:line="360" w:lineRule="auto"/>
        <w:jc w:val="left"/>
      </w:pPr>
      <w:r>
        <w:rPr>
          <w:rFonts w:ascii="Times New Roman" w:cs="Times New Roman" w:eastAsia="Times New Roman" w:hAnsi="Times New Roman"/>
          <w:b/>
          <w:bCs/>
          <w:sz w:val="24"/>
          <w:szCs w:val="24"/>
        </w:rPr>
        <w:t xml:space="preserve">6.11 Estructura del proyecto</w:t>
      </w:r>
    </w:p>
    <w:p>
      <w:pPr>
        <w:spacing w:after="120" w:before="0" w:line="360" w:lineRule="auto"/>
        <w:jc w:val="both"/>
      </w:pPr>
      <w:r>
        <w:rPr>
          <w:rFonts w:ascii="Times New Roman" w:cs="Times New Roman" w:eastAsia="Times New Roman" w:hAnsi="Times New Roman"/>
          <w:b w:val="false"/>
          <w:bCs w:val="false"/>
          <w:i w:val="false"/>
          <w:iCs w:val="false"/>
          <w:sz w:val="24"/>
          <w:szCs w:val="24"/>
        </w:rPr>
        <w:t>La estructura vigente separa `app/`, `core/`, `entrenador/`, `dataset/` y `docs/`. La presencia de scripts, checkpoints o README no demuestra por sí sola que exista un backend conectado a la cámara.</w:t>
      </w:r>
    </w:p>
    <w:p>
      <w:pPr>
        <w:spacing w:after="40" w:before="200"/>
        <w:jc w:val="center"/>
      </w:pPr>
      <w:r/>
    </w:p>
    <w:p>
      <w:pPr>
        <w:spacing w:after="100" w:before="220" w:line="360" w:lineRule="auto"/>
        <w:jc w:val="left"/>
      </w:pPr>
      <w:r>
        <w:rPr>
          <w:rFonts w:ascii="Times New Roman" w:cs="Times New Roman" w:eastAsia="Times New Roman" w:hAnsi="Times New Roman"/>
          <w:b/>
          <w:bCs/>
          <w:sz w:val="24"/>
          <w:szCs w:val="24"/>
        </w:rPr>
        <w:t xml:space="preserve">6.12 Cronología de desarrollo</w:t>
      </w:r>
    </w:p>
    <w:p>
      <w:pPr>
        <w:spacing w:after="120" w:before="0" w:line="360" w:lineRule="auto"/>
        <w:jc w:val="both"/>
      </w:pPr>
      <w:r>
        <w:rPr>
          <w:rFonts w:ascii="Times New Roman" w:cs="Times New Roman" w:eastAsia="Times New Roman" w:hAnsi="Times New Roman"/>
          <w:b w:val="false"/>
          <w:bCs w:val="false"/>
          <w:i w:val="false"/>
          <w:iCs w:val="false"/>
          <w:sz w:val="24"/>
          <w:szCs w:val="24"/>
        </w:rPr>
        <w:t>El proyecto se trabajó de forma continua desde el 26 de abril de 2026: las primeras semanas se dedicaron a la recolección de muestras del abecedario, seguidas de la extracción de keypoints y el diseño de features, y desde junio a los ciclos de entrenamiento, depuración de errores y ajuste de hiperparámetros descritos en las secciones anteriores. El trabajo sigue de forma continua más allá de la fecha de corte de este documento. La Figura 5 resume cómo se distribuyó el esfuerzo entre las distintas etapas del pipeline a lo largo de las semanas.</w:t>
      </w:r>
    </w:p>
    <w:p>
      <w:pPr>
        <w:spacing w:after="40" w:before="200"/>
        <w:jc w:val="center"/>
      </w:pPr>
      <w:r>
        <w:drawing>
          <wp:inline xmlns:a="http://schemas.openxmlformats.org/drawingml/2006/main" xmlns:pic="http://schemas.openxmlformats.org/drawingml/2006/picture">
            <wp:extent cx="5486400" cy="1784600"/>
            <wp:docPr id="8" name="Picture"/>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486400" cy="1784600"/>
                    </a:xfrm>
                    <a:prstGeom prst="rect"/>
                  </pic:spPr>
                </pic:pic>
              </a:graphicData>
            </a:graphic>
          </wp:inline>
        </w:drawing>
      </w:r>
    </w:p>
    <w:p>
      <w:pPr>
        <w:spacing w:after="200" w:before="40"/>
        <w:jc w:val="center"/>
      </w:pPr>
      <w:r>
        <w:rPr>
          <w:i/>
          <w:iCs/>
          <w:sz w:val="20"/>
          <w:szCs w:val="20"/>
        </w:rPr>
        <w:t xml:space="preserve">Figura 5. Cronología de desarrollo del proyecto, reconstruida a partir de la narrativa de esta misma sección (6.12): inicio el 26 de abril de 2026, tres fases sucesivas hasta la fecha de corte del documento.</w:t>
      </w:r>
    </w:p>
    <w:p>
      <w:pPr>
        <w:spacing w:after="100" w:before="220" w:line="360" w:lineRule="auto"/>
        <w:jc w:val="left"/>
      </w:pPr>
      <w:r>
        <w:rPr>
          <w:rFonts w:ascii="Times New Roman" w:cs="Times New Roman" w:eastAsia="Times New Roman" w:hAnsi="Times New Roman"/>
          <w:b/>
          <w:bCs/>
          <w:sz w:val="24"/>
          <w:szCs w:val="24"/>
        </w:rPr>
        <w:t xml:space="preserve">6.13 Línea evolutiva de los modelos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Para evitar confundir cuál es “el modelo del proyecto”, conviene leer los tres experimentos de este protocolo como etapas sucesivas de una misma investigación, no como versiones alternativas en competencia:</w:t>
      </w:r>
    </w:p>
    <w:p>
      <w:pPr>
        <w:spacing w:after="120" w:before="0" w:line="360" w:lineRule="auto"/>
        <w:jc w:val="both"/>
      </w:pPr>
      <w:r>
        <w:rPr>
          <w:rFonts w:ascii="Times New Roman" w:hAnsi="Times New Roman"/>
          <w:sz w:val="24"/>
        </w:rPr>
        <w:t>1) Abecedario (PyTorch, TCN). Resultado actualizado: 21 letras evaluadas, 98.78% de accuracy y 98.79% de macro-F1 en prueba (41,773 muestras).</w:t>
      </w:r>
    </w:p>
    <w:p>
      <w:pPr>
        <w:spacing w:after="120" w:before="0" w:line="360" w:lineRule="auto"/>
        <w:jc w:val="both"/>
      </w:pPr>
      <w:r>
        <w:rPr>
          <w:rFonts w:ascii="Times New Roman" w:hAnsi="Times New Roman"/>
          <w:sz w:val="24"/>
        </w:rPr>
        <w:t>2) Vocabulario “successor_positions126” (PyTorch, TCN). El experimento anterior de 249 etiquetas obtuvo 0% en prueba y no debe mezclarse con el modelo dinámico actualizado.</w:t>
      </w:r>
    </w:p>
    <w:p>
      <w:pPr>
        <w:spacing w:after="120" w:before="0" w:line="360" w:lineRule="auto"/>
        <w:jc w:val="both"/>
      </w:pPr>
      <w:r>
        <w:rPr>
          <w:rFonts w:ascii="Times New Roman" w:hAnsi="Times New Roman"/>
          <w:sz w:val="24"/>
        </w:rPr>
        <w:t>3) MSL-ABC (PyTorch, TCN). El entrenamiento inicial de 74 clases fue interrumpido; sus cifras no representan el resultado final de 21 letras actualizado.</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En conjunto, los tres experimentos apuntan a la misma conclusión de la sección 7: el cuello de botella no es la arquitectura (Conv1D+BiLSTM y TCN funcionan de forma comparable cuando hay datos suficientes) sino la cantidad de muestras etiquetadas disponibles por clase.</w:t>
      </w:r>
    </w:p>
    <w:p>
      <w:pPr>
        <w:spacing w:after="40" w:before="200"/>
        <w:jc w:val="center"/>
      </w:pPr>
      <w:r/>
    </w:p>
    <w:p>
      <w:pPr>
        <w:spacing w:after="120" w:before="280" w:line="360" w:lineRule="auto"/>
        <w:jc w:val="left"/>
      </w:pPr>
      <w:r>
        <w:rPr>
          <w:rFonts w:ascii="Times New Roman" w:cs="Times New Roman" w:eastAsia="Times New Roman" w:hAnsi="Times New Roman"/>
          <w:b/>
          <w:bCs/>
          <w:sz w:val="24"/>
          <w:szCs w:val="24"/>
        </w:rPr>
        <w:t xml:space="preserve">7. RESULTADOS</w:t>
      </w:r>
    </w:p>
    <w:p>
      <w:pPr>
        <w:spacing w:after="100" w:before="220" w:line="360" w:lineRule="auto"/>
        <w:jc w:val="left"/>
      </w:pPr>
      <w:r>
        <w:rPr>
          <w:rFonts w:ascii="Times New Roman" w:cs="Times New Roman" w:eastAsia="Times New Roman" w:hAnsi="Times New Roman"/>
          <w:b/>
          <w:bCs/>
          <w:sz w:val="24"/>
          <w:szCs w:val="24"/>
        </w:rPr>
        <w:t xml:space="preserve">7.1 Modelo de abecedario</w:t>
      </w:r>
    </w:p>
    <w:p>
      <w:pPr>
        <w:spacing w:after="120" w:before="0" w:line="360" w:lineRule="auto"/>
        <w:jc w:val="both"/>
      </w:pPr>
      <w:r>
        <w:rPr>
          <w:rFonts w:ascii="Times New Roman" w:hAnsi="Times New Roman"/>
          <w:sz w:val="24"/>
        </w:rPr>
        <w:t>El repositorio conserva ahora un resultado final del modelo de abecedario: 21 letras, 196,065 muestras de entrenamiento, 41,878 de validación y 41,773 de prueba; accuracy de prueba 98.78% y macro-F1 98.79%. La cifra corresponde a ese conjunto y checkpoint, no a toda la interfaz.</w:t>
      </w:r>
    </w:p>
    <w:p>
      <w:pPr>
        <w:spacing w:after="40" w:before="200"/>
        <w:jc w:val="center"/>
      </w:pPr>
      <w:r>
        <w:drawing>
          <wp:inline xmlns:a="http://schemas.openxmlformats.org/drawingml/2006/main" xmlns:pic="http://schemas.openxmlformats.org/drawingml/2006/picture">
            <wp:extent cx="5029200" cy="4749600"/>
            <wp:docPr id="3" name="Picture"/>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029200" cy="4749600"/>
                    </a:xfrm>
                    <a:prstGeom prst="rect"/>
                  </pic:spPr>
                </pic:pic>
              </a:graphicData>
            </a:graphic>
          </wp:inline>
        </w:drawing>
      </w:r>
    </w:p>
    <w:p>
      <w:pPr>
        <w:spacing w:after="200" w:before="40"/>
        <w:jc w:val="center"/>
      </w:pPr>
      <w:r>
        <w:rPr>
          <w:i/>
          <w:iCs/>
          <w:sz w:val="20"/>
          <w:szCs w:val="20"/>
        </w:rPr>
        <w:t xml:space="preserve">Figura 6. Modelo de abecedario (26 clases, Conv1D+BiLSTM): curvas de entrenamiento, F1 por letra y matriz de confusión normalizada sobre el conjunto de prueba (n=356). Fuente: lsm_alphabet_report.json.</w:t>
      </w:r>
    </w:p>
    <w:p>
      <w:pPr>
        <w:spacing w:after="40" w:before="200"/>
        <w:jc w:val="center"/>
      </w:pPr>
      <w:r/>
    </w:p>
    <w:p>
      <w:pPr>
        <w:spacing w:after="120" w:before="0" w:line="360" w:lineRule="auto"/>
        <w:jc w:val="both"/>
      </w:pPr>
      <w:r>
        <w:rPr>
          <w:rFonts w:ascii="Times New Roman" w:hAnsi="Times New Roman"/>
          <w:sz w:val="24"/>
        </w:rPr>
        <w:t>La cifra del modelo de abecedario no demuestra reconocimiento en cámara. Las métricas deben identificarse por conjunto, partición, participantes, checkpoint y condiciones de evaluación antes de compararlas con nuevos experimentos. El resultado actualizado debe citarse como 98.78% en prueba y distinguirse del modelo dinámico de 96.67%.</w:t>
      </w:r>
    </w:p>
    <w:p>
      <w:pPr>
        <w:spacing w:after="40" w:before="200"/>
        <w:jc w:val="center"/>
      </w:pPr>
      <w:r/>
    </w:p>
    <w:p>
      <w:pPr>
        <w:spacing w:after="120" w:before="0" w:line="360" w:lineRule="auto"/>
        <w:jc w:val="both"/>
      </w:pPr>
      <w:r>
        <w:rPr>
          <w:rFonts w:ascii="Times New Roman" w:cs="Times New Roman" w:eastAsia="Times New Roman" w:hAnsi="Times New Roman"/>
          <w:b w:val="false"/>
          <w:bCs w:val="false"/>
          <w:i w:val="false"/>
          <w:iCs w:val="false"/>
          <w:sz w:val="24"/>
          <w:szCs w:val="24"/>
        </w:rPr>
        <w:t>El resultado del abecedario sugiere que una representación de puntos clave puede funcionar bien bajo determinadas condiciones. Aun así, será necesario repetir la evaluación con más participantes y conectar un runtime que reproduzca exactamente la representación usada en el entrenamiento.</w:t>
      </w:r>
    </w:p>
    <w:p>
      <w:pPr>
        <w:spacing w:after="100" w:before="220" w:line="360" w:lineRule="auto"/>
        <w:jc w:val="left"/>
      </w:pPr>
      <w:r>
        <w:rPr>
          <w:rFonts w:ascii="Times New Roman" w:cs="Times New Roman" w:eastAsia="Times New Roman" w:hAnsi="Times New Roman"/>
          <w:b/>
          <w:bCs/>
          <w:sz w:val="24"/>
          <w:szCs w:val="24"/>
        </w:rPr>
        <w:t xml:space="preserve">7.2 Modelo de vocabulario</w:t>
      </w:r>
    </w:p>
    <w:p>
      <w:pPr>
        <w:spacing w:after="120" w:before="0" w:line="360" w:lineRule="auto"/>
        <w:jc w:val="both"/>
      </w:pPr>
      <w:r>
        <w:rPr>
          <w:rFonts w:ascii="Times New Roman" w:cs="Times New Roman" w:eastAsia="Times New Roman" w:hAnsi="Times New Roman"/>
          <w:b w:val="false"/>
          <w:bCs w:val="false"/>
          <w:i w:val="false"/>
          <w:iCs w:val="false"/>
          <w:sz w:val="24"/>
          <w:szCs w:val="24"/>
        </w:rPr>
        <w:t>El experimento de palabras documentado en el repositorio tuvo un resultado insuficiente: con 249 etiquetas, obtuvo 0% de accuracy y 0% de F1 macro en el conjunto de prueba de 393 muestras. Este resultado no debe presentarse como una traducción funcional.</w:t>
      </w:r>
    </w:p>
    <w:p>
      <w:pPr>
        <w:spacing w:after="40" w:before="200"/>
        <w:jc w:val="center"/>
      </w:pPr>
      <w:r>
        <w:drawing>
          <wp:inline xmlns:a="http://schemas.openxmlformats.org/drawingml/2006/main" xmlns:pic="http://schemas.openxmlformats.org/drawingml/2006/picture">
            <wp:extent cx="5029200" cy="4749600"/>
            <wp:docPr id="4" name="Picture"/>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029200" cy="4749600"/>
                    </a:xfrm>
                    <a:prstGeom prst="rect"/>
                  </pic:spPr>
                </pic:pic>
              </a:graphicData>
            </a:graphic>
          </wp:inline>
        </w:drawing>
      </w:r>
    </w:p>
    <w:p>
      <w:pPr>
        <w:spacing w:after="200" w:before="40"/>
        <w:jc w:val="center"/>
      </w:pPr>
      <w:r>
        <w:rPr>
          <w:i/>
          <w:iCs/>
          <w:sz w:val="20"/>
          <w:szCs w:val="20"/>
        </w:rPr>
        <w:t xml:space="preserve">Figura 7. Modelo de vocabulario “successor_positions126” (TCN, 249 etiquetas): curvas de entrenamiento y validación, soporte por clase y matriz de confusión sobre el conjunto de prueba (n=393, accuracy=0%). Fuente: docs/analisis/fase2-entrenamiento/metrics.json.</w:t>
      </w:r>
    </w:p>
    <w:p>
      <w:pPr>
        <w:spacing w:after="40" w:before="200"/>
        <w:jc w:val="center"/>
      </w:pPr>
      <w:r/>
    </w:p>
    <w:p>
      <w:pPr>
        <w:spacing w:after="120" w:before="0" w:line="360" w:lineRule="auto"/>
        <w:jc w:val="both"/>
      </w:pPr>
      <w:r>
        <w:rPr>
          <w:rFonts w:ascii="Times New Roman" w:cs="Times New Roman" w:eastAsia="Times New Roman" w:hAnsi="Times New Roman"/>
          <w:b w:val="false"/>
          <w:bCs w:val="false"/>
          <w:i w:val="false"/>
          <w:iCs w:val="false"/>
          <w:sz w:val="24"/>
          <w:szCs w:val="24"/>
        </w:rPr>
        <w:t>El resultado insuficiente no permite concluir por sí solo si la causa principal es la arquitectura, los datos, las etiquetas o la separación. Sí muestra que la combinación actual requiere nuevos datos, revisión de etiquetas, evaluación por firmante y una integración de inferencia reproducible.</w:t>
      </w:r>
    </w:p>
    <w:p>
      <w:pPr>
        <w:spacing w:after="120" w:before="0" w:line="360" w:lineRule="auto"/>
        <w:jc w:val="both"/>
      </w:pPr>
      <w:r>
        <w:rPr>
          <w:rFonts w:ascii="Times New Roman" w:cs="Times New Roman" w:eastAsia="Times New Roman" w:hAnsi="Times New Roman"/>
          <w:b w:val="false"/>
          <w:bCs w:val="false"/>
          <w:i w:val="false"/>
          <w:iCs w:val="false"/>
          <w:sz w:val="24"/>
          <w:szCs w:val="24"/>
        </w:rPr>
        <w:t>Mientras se reúnen más participantes y conjuntos de datos de calidad, el sistema puede utilizar el abecedario y el autocompletado como estrategia provisional de formación de texto. El autocompletado propone palabras por prefijo; no confirma una palabra reconocida.</w:t>
      </w:r>
    </w:p>
    <w:p>
      <w:pPr>
        <w:spacing w:line="360" w:lineRule="auto"/>
      </w:pPr>
      <w:r>
        <w:rPr>
          <w:rFonts w:ascii="Times New Roman" w:hAnsi="Times New Roman" w:eastAsia="Times New Roman"/>
          <w:b w:val="0"/>
          <w:sz w:val="24"/>
        </w:rPr>
        <w:t>El mapa nominal de 249 etiquetas no demuestra que exista un modelo funcional de 249 palabras. successor_positions126 registra accuracy y macro-F1 de 0.0; MSL-ABC corresponde a 74 clases y tuvo entrenamiento interrumpido. No se deben combinar esas cifras. Estudios recientes de LSM resaltan también la evaluación por persona, el movimiento de brazos y los gestos no manuales [23] [24]. La evidencia disponible indica que el principal cuello de botella es la cantidad, diversidad y calidad de los datos; por ello se requiere participación de una comunidad de LSM y apoyo institucional antes de prometer una cobertura amplia.</w:t>
      </w:r>
    </w:p>
    <w:p>
      <w:pPr>
        <w:spacing w:line="360" w:lineRule="auto"/>
      </w:pPr>
      <w:r>
        <w:rPr>
          <w:rFonts w:ascii="Times New Roman" w:hAnsi="Times New Roman" w:eastAsia="Times New Roman"/>
          <w:b/>
          <w:sz w:val="24"/>
        </w:rPr>
        <w:t>7.6 Interpretación de resultados</w:t>
      </w:r>
    </w:p>
    <w:p>
      <w:pPr>
        <w:spacing w:after="40" w:before="200"/>
        <w:jc w:val="center"/>
      </w:pPr>
      <w:r>
        <w:drawing>
          <wp:inline xmlns:a="http://schemas.openxmlformats.org/drawingml/2006/main" xmlns:pic="http://schemas.openxmlformats.org/drawingml/2006/picture">
            <wp:extent cx="5486400" cy="2743200"/>
            <wp:docPr id="5" name="Picture"/>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486400" cy="2743200"/>
                    </a:xfrm>
                    <a:prstGeom prst="rect"/>
                  </pic:spPr>
                </pic:pic>
              </a:graphicData>
            </a:graphic>
          </wp:inline>
        </w:drawing>
      </w:r>
    </w:p>
    <w:p>
      <w:pPr>
        <w:spacing w:after="200" w:before="40"/>
        <w:jc w:val="center"/>
      </w:pPr>
      <w:r>
        <w:rPr>
          <w:i/>
          <w:iCs/>
          <w:sz w:val="20"/>
          <w:szCs w:val="20"/>
        </w:rPr>
        <w:t xml:space="preserve">Figura 8. Comparación de las tres corridas de entrenamiento documentadas en el repositorio (abecedario, vocabulario successor_positions126 y MSL-ABC) y su relación con la densidad de datos por clase.</w:t>
      </w:r>
    </w:p>
    <w:p>
      <w:pPr>
        <w:spacing w:line="360" w:lineRule="auto"/>
      </w:pPr>
      <w:r>
        <w:rPr>
          <w:rFonts w:ascii="Times New Roman" w:hAnsi="Times New Roman" w:eastAsia="Times New Roman"/>
          <w:b w:val="0"/>
          <w:sz w:val="24"/>
        </w:rPr>
        <w:t>La interfaz web prepara solicitudes hacia 127.0.0.1:8765, pero el backend de predicción no está presente en el repositorio activo. Por eso todavía no se debe afirmar una traducción de extremo a extremo. El autocompletado local solo propone palabras a partir de un prefijo. Para ejecutar localmente se necesita un modelo compatible y un contrato de entrada idéntico; con servidor se requieren además protección de datos, control de errores y evaluación de latencia. La integración con Meet, Teams, Zoom, WhatsApp, Instagram o Facebook queda como trabajo posterior.</w:t>
      </w:r>
    </w:p>
    <w:p>
      <w:pPr>
        <w:spacing w:line="360" w:lineRule="auto"/>
      </w:pPr>
      <w:r>
        <w:rPr>
          <w:rFonts w:ascii="Times New Roman" w:hAnsi="Times New Roman" w:eastAsia="Times New Roman"/>
          <w:b/>
          <w:sz w:val="24"/>
        </w:rPr>
        <w:t>7.5 Integración y limitaciones de ejecución</w:t>
      </w:r>
    </w:p>
    <w:p>
      <w:pPr>
        <w:spacing w:line="360" w:lineRule="auto"/>
      </w:pPr>
      <w:r>
        <w:rPr>
          <w:rFonts w:ascii="Times New Roman" w:hAnsi="Times New Roman" w:eastAsia="Times New Roman"/>
          <w:b w:val="0"/>
          <w:sz w:val="24"/>
        </w:rPr>
        <w:t>En el repositorio se probaron TCN para secuencias temporales, Bone Vector 126, Bone Covariance 168, Bone Code 190, relaciones entre puntos, fusión de vistas, consistencia entre firmantes, combinación de probabilidades y estrategias de regularización. Estas variantes buscaron reducir el efecto de cambios de posición, escala, orientación y diferencias entre personas. Un script o checkpoint no equivale por sí solo al modelo final: cada experimento debe conservar sus clases, entrada, partición, semilla y métricas.</w:t>
      </w:r>
    </w:p>
    <w:p>
      <w:pPr>
        <w:spacing w:line="360" w:lineRule="auto"/>
      </w:pPr>
      <w:r>
        <w:rPr>
          <w:rFonts w:ascii="Times New Roman" w:hAnsi="Times New Roman" w:eastAsia="Times New Roman"/>
          <w:b/>
          <w:sz w:val="24"/>
        </w:rPr>
        <w:t>7.4 Técnicas exploradas en el repositorio</w:t>
      </w:r>
    </w:p>
    <w:p>
      <w:pPr>
        <w:spacing w:line="360" w:lineRule="auto"/>
      </w:pPr>
      <w:r>
        <w:rPr>
          <w:rFonts w:ascii="Times New Roman" w:hAnsi="Times New Roman" w:eastAsia="Times New Roman"/>
          <w:b w:val="0"/>
          <w:sz w:val="24"/>
        </w:rPr>
        <w:t>El caso de SL2T también permite distinguir entre procesamiento local y uso de servidor: los puntos del cuerpo pueden extraerse en el dispositivo y enviarse a infraestructura remota. Un sistema local completo reduce la dependencia de internet; uno con servidor puede usar modelos mayores, pero necesita conectividad, seguridad, disponibilidad y control de costos.</w:t>
      </w:r>
    </w:p>
    <w:p>
      <w:pPr>
        <w:spacing w:line="360" w:lineRule="auto"/>
      </w:pPr>
      <w:r>
        <w:rPr>
          <w:rFonts w:ascii="Times New Roman" w:hAnsi="Times New Roman" w:eastAsia="Times New Roman"/>
          <w:b w:val="0"/>
          <w:sz w:val="24"/>
        </w:rPr>
        <w:t>La revisión de modelos recientes confirma que ASL y LSM no son la misma lengua. En agosto de 2026, Google DeepMind presentó SL2T, un sistema de lengua de señas a texto que comenzó con ASL hacia inglés. Aunque es un referente importante, no constituye evidencia de reconocimiento de LSM porque la publicación describe una disponibilidad inicial centrada en ASL [22].</w:t>
      </w:r>
    </w:p>
    <w:p>
      <w:pPr>
        <w:spacing w:line="360" w:lineRule="auto"/>
      </w:pPr>
      <w:r>
        <w:rPr>
          <w:rFonts w:ascii="Times New Roman" w:hAnsi="Times New Roman" w:eastAsia="Times New Roman"/>
          <w:b/>
          <w:sz w:val="24"/>
        </w:rPr>
        <w:t>7.3 Investigación de modelos recientes</w:t>
      </w:r>
    </w:p>
    <w:p>
      <w:pPr>
        <w:spacing w:after="120" w:before="280" w:line="360" w:lineRule="auto"/>
        <w:jc w:val="left"/>
      </w:pPr>
      <w:r>
        <w:rPr>
          <w:rFonts w:ascii="Times New Roman" w:cs="Times New Roman" w:eastAsia="Times New Roman" w:hAnsi="Times New Roman"/>
          <w:b/>
          <w:bCs/>
          <w:sz w:val="24"/>
          <w:szCs w:val="24"/>
        </w:rPr>
        <w:t xml:space="preserve">8. CONCLUSIONES</w:t>
      </w:r>
    </w:p>
    <w:p>
      <w:pPr>
        <w:spacing w:after="100" w:before="220" w:line="360" w:lineRule="auto"/>
        <w:jc w:val="left"/>
      </w:pPr>
      <w:r>
        <w:rPr>
          <w:rFonts w:ascii="Times New Roman" w:cs="Times New Roman" w:eastAsia="Times New Roman" w:hAnsi="Times New Roman"/>
          <w:b/>
          <w:bCs/>
          <w:sz w:val="24"/>
          <w:szCs w:val="24"/>
        </w:rPr>
        <w:t xml:space="preserve">Aportación específica de este proyecto</w:t>
      </w:r>
    </w:p>
    <w:p>
      <w:pPr>
        <w:spacing w:after="120" w:before="0" w:line="360" w:lineRule="auto"/>
        <w:jc w:val="both"/>
      </w:pPr>
      <w:r>
        <w:rPr>
          <w:rFonts w:ascii="Times New Roman" w:cs="Times New Roman" w:eastAsia="Times New Roman" w:hAnsi="Times New Roman"/>
          <w:b w:val="false"/>
          <w:bCs w:val="false"/>
          <w:i w:val="false"/>
          <w:iCs w:val="false"/>
          <w:sz w:val="24"/>
          <w:szCs w:val="24"/>
        </w:rPr>
        <w:t>A diferencia de una afirmación de sistema terminado, este proyecto aporta una base experimental auditable: extracción de puntos, modelos temporales, manifiestos, una interfaz web y autocompletado local. El reconocimiento directo de palabras y la inferencia de cámara todavía requieren integración y validación.</w:t>
      </w:r>
    </w:p>
    <w:p>
      <w:pPr>
        <w:spacing w:after="120" w:before="0" w:line="360" w:lineRule="auto"/>
        <w:jc w:val="both"/>
      </w:pPr>
      <w:r>
        <w:rPr>
          <w:rFonts w:ascii="Times New Roman" w:cs="Times New Roman" w:eastAsia="Times New Roman" w:hAnsi="Times New Roman"/>
          <w:b w:val="false"/>
          <w:bCs w:val="false"/>
          <w:i w:val="false"/>
          <w:iCs w:val="false"/>
          <w:sz w:val="24"/>
          <w:szCs w:val="24"/>
        </w:rPr>
        <w:t>El repositorio muestra que el reconocimiento del abecedario puede ser una base viable cuando se cuenta con datos suficientes y una representación adecuada. Ese resultado pertenece a un experimento concreto y no demuestra que la interfaz actual reconozca señas sin un backend conectado.</w:t>
      </w:r>
    </w:p>
    <w:p>
      <w:pPr>
        <w:spacing w:after="120" w:before="0" w:line="360" w:lineRule="auto"/>
        <w:jc w:val="both"/>
      </w:pPr>
      <w:r>
        <w:rPr>
          <w:rFonts w:ascii="Times New Roman" w:cs="Times New Roman" w:eastAsia="Times New Roman" w:hAnsi="Times New Roman"/>
          <w:b w:val="false"/>
          <w:bCs w:val="false"/>
          <w:i w:val="false"/>
          <w:iCs w:val="false"/>
          <w:sz w:val="24"/>
          <w:szCs w:val="24"/>
        </w:rPr>
        <w:t>El modelo de palabras no alcanzó una condición de uso confiable. El reporte con 249 etiquetas obtuvo 0% de accuracy y 0% de macro-F1 en prueba, por lo que debe considerarse un experimento insuficiente, no una traducción funcional.</w:t>
      </w:r>
    </w:p>
    <w:p>
      <w:pPr>
        <w:spacing w:after="120" w:before="0" w:line="360" w:lineRule="auto"/>
        <w:jc w:val="both"/>
      </w:pPr>
      <w:r>
        <w:rPr>
          <w:rFonts w:ascii="Times New Roman" w:cs="Times New Roman" w:eastAsia="Times New Roman" w:hAnsi="Times New Roman"/>
          <w:b w:val="false"/>
          <w:bCs w:val="false"/>
          <w:i w:val="false"/>
          <w:iCs w:val="false"/>
          <w:sz w:val="24"/>
          <w:szCs w:val="24"/>
        </w:rPr>
        <w:t>La revisión del repositorio identificó varios puntos que deben corregirse antes de afirmar que el sistema está listo: existen datos de fuentes distintas, algunos manifiestos están pendientes de extracción, los modelos tienen contratos diferentes y la interfaz espera endpoints cuyo servidor no está versionado.</w:t>
      </w:r>
    </w:p>
    <w:p>
      <w:pPr>
        <w:spacing w:after="120" w:before="0" w:line="360" w:lineRule="auto"/>
        <w:jc w:val="both"/>
      </w:pPr>
      <w:r>
        <w:rPr>
          <w:rFonts w:ascii="Times New Roman" w:cs="Times New Roman" w:eastAsia="Times New Roman" w:hAnsi="Times New Roman"/>
          <w:b w:val="false"/>
          <w:bCs w:val="false"/>
          <w:i w:val="false"/>
          <w:iCs w:val="false"/>
          <w:sz w:val="24"/>
          <w:szCs w:val="24"/>
        </w:rPr>
        <w:t>Los retos pendientes son claros: reunir más participantes, aumentar la diversidad de muestras por clase, revisar las etiquetas, separar los conjuntos por persona, completar el backend y repetir las evaluaciones con métricas completas.</w:t>
      </w:r>
    </w:p>
    <w:p>
      <w:pPr>
        <w:spacing w:after="100" w:before="220" w:line="360" w:lineRule="auto"/>
        <w:jc w:val="left"/>
      </w:pPr>
      <w:r>
        <w:rPr>
          <w:rFonts w:ascii="Times New Roman" w:cs="Times New Roman" w:eastAsia="Times New Roman" w:hAnsi="Times New Roman"/>
          <w:b/>
          <w:bCs/>
          <w:sz w:val="24"/>
          <w:szCs w:val="24"/>
        </w:rPr>
        <w:t xml:space="preserve">Alcances y limitaciones</w:t>
      </w:r>
    </w:p>
    <w:p>
      <w:pPr>
        <w:pStyle w:val="ListParagraph"/>
        <w:spacing w:after="80" w:before="0" w:line="360" w:lineRule="auto"/>
        <w:ind w:left="360"/>
        <w:jc w:val="both"/>
      </w:pPr>
      <w:r>
        <w:rPr>
          <w:rFonts w:ascii="Times New Roman" w:cs="Times New Roman" w:eastAsia="Times New Roman" w:hAnsi="Times New Roman"/>
          <w:sz w:val="24"/>
          <w:szCs w:val="24"/>
        </w:rPr>
        <w:t>Alcance: el repositorio contiene una línea experimental de modelos temporales y una aplicación que puede capturar datos, exportarlos y preparar solicitudes. La cobertura final debe confirmarse con nuevas pruebas fuera del entorno controlado.</w:t>
      </w:r>
    </w:p>
    <w:p>
      <w:pPr>
        <w:pStyle w:val="ListParagraph"/>
        <w:spacing w:after="80" w:before="0" w:line="360" w:lineRule="auto"/>
        <w:ind w:left="360"/>
        <w:jc w:val="both"/>
      </w:pPr>
      <w:r>
        <w:rPr>
          <w:rFonts w:ascii="Times New Roman" w:cs="Times New Roman" w:eastAsia="Times New Roman" w:hAnsi="Times New Roman"/>
          <w:sz w:val="24"/>
          <w:szCs w:val="24"/>
        </w:rPr>
        <w:t>Alcance: el repositorio conserva manifiestos, scripts, modelos y reportes que permiten reconstruir parte del flujo de trabajo. La disponibilidad de estos archivos no significa que todos los datos estén listos ni que todos los modelos estén conectados a la interfaz.</w:t>
      </w:r>
    </w:p>
    <w:p>
      <w:pPr>
        <w:pStyle w:val="ListParagraph"/>
        <w:spacing w:after="80" w:before="0" w:line="360" w:lineRule="auto"/>
        <w:ind w:left="360"/>
        <w:jc w:val="both"/>
      </w:pPr>
      <w:r>
        <w:rPr>
          <w:rFonts w:ascii="Times New Roman" w:cs="Times New Roman" w:eastAsia="Times New Roman" w:hAnsi="Times New Roman"/>
          <w:sz w:val="24"/>
          <w:szCs w:val="24"/>
        </w:rPr>
        <w:t>Limitación: el reconocimiento directo de palabras no es confiable con la evidencia actual. El experimento de 249 etiquetas obtuvo 0% de accuracy y 0% de macro-F1 en prueba, por lo que se reporta como resultado insuficiente.</w:t>
      </w:r>
    </w:p>
    <w:p>
      <w:pPr>
        <w:pStyle w:val="ListParagraph"/>
        <w:spacing w:after="80" w:before="0" w:line="360" w:lineRule="auto"/>
        <w:ind w:left="360"/>
        <w:jc w:val="both"/>
      </w:pPr>
      <w:r>
        <w:rPr>
          <w:rFonts w:ascii="Times New Roman" w:cs="Times New Roman" w:eastAsia="Times New Roman" w:hAnsi="Times New Roman"/>
          <w:sz w:val="24"/>
          <w:szCs w:val="24"/>
        </w:rPr>
        <w:t>Limitación: todavía no se cuenta con una evaluación suficiente con participantes sordos y hablantes de LSM que no formen parte del desarrollo.</w:t>
      </w:r>
    </w:p>
    <w:p>
      <w:pPr>
        <w:pStyle w:val="ListParagraph"/>
        <w:spacing w:after="80" w:before="0" w:line="360" w:lineRule="auto"/>
        <w:ind w:left="360"/>
        <w:jc w:val="both"/>
      </w:pPr>
      <w:r>
        <w:rPr>
          <w:rFonts w:ascii="Times New Roman" w:cs="Times New Roman" w:eastAsia="Times New Roman" w:hAnsi="Times New Roman"/>
          <w:sz w:val="24"/>
          <w:szCs w:val="24"/>
        </w:rPr>
        <w:t>Limitación: la cobertura de la Ñ y de otras clases depende de que existan muestras suficientes, variadas y correctamente etiquetadas.</w:t>
      </w:r>
    </w:p>
    <w:p>
      <w:pPr>
        <w:pStyle w:val="ListParagraph"/>
        <w:spacing w:after="80" w:before="0" w:line="360" w:lineRule="auto"/>
        <w:ind w:left="360"/>
        <w:jc w:val="both"/>
      </w:pPr>
      <w:r>
        <w:rPr>
          <w:rFonts w:ascii="Times New Roman" w:cs="Times New Roman" w:eastAsia="Times New Roman" w:hAnsi="Times New Roman"/>
          <w:sz w:val="24"/>
          <w:szCs w:val="24"/>
        </w:rPr>
        <w:t>Limitación: no se puede asumir que una precisión obtenida en un conjunto controlado se conserve con otras personas, cámaras, fondos e iluminación.</w:t>
      </w:r>
    </w:p>
    <w:p>
      <w:pPr>
        <w:spacing w:after="100" w:before="220" w:line="360" w:lineRule="auto"/>
        <w:jc w:val="left"/>
      </w:pPr>
      <w:r>
        <w:rPr>
          <w:rFonts w:ascii="Times New Roman" w:cs="Times New Roman" w:eastAsia="Times New Roman" w:hAnsi="Times New Roman"/>
          <w:b/>
          <w:bCs/>
          <w:sz w:val="24"/>
          <w:szCs w:val="24"/>
        </w:rPr>
        <w:t xml:space="preserve">Próximos pasos</w:t>
      </w:r>
    </w:p>
    <w:p>
      <w:pPr>
        <w:pStyle w:val="ListParagraph"/>
        <w:spacing w:after="80" w:before="0" w:line="360" w:lineRule="auto"/>
        <w:ind w:left="360"/>
        <w:jc w:val="both"/>
      </w:pPr>
      <w:r>
        <w:rPr>
          <w:rFonts w:ascii="Times New Roman" w:cs="Times New Roman" w:eastAsia="Times New Roman" w:hAnsi="Times New Roman"/>
          <w:sz w:val="24"/>
          <w:szCs w:val="24"/>
        </w:rPr>
        <w:t>Corto plazo: implementar el backend de predicción esperado por la interfaz, completar y evaluar el modelo seleccionado, y añadir confianza, estabilización y rechazo antes de mostrar una salida como texto.</w:t>
      </w:r>
    </w:p>
    <w:p>
      <w:pPr>
        <w:pStyle w:val="ListParagraph"/>
        <w:spacing w:after="80" w:before="0" w:line="360" w:lineRule="auto"/>
        <w:ind w:left="360"/>
        <w:jc w:val="both"/>
      </w:pPr>
      <w:r>
        <w:rPr>
          <w:rFonts w:ascii="Times New Roman" w:cs="Times New Roman" w:eastAsia="Times New Roman" w:hAnsi="Times New Roman"/>
          <w:sz w:val="24"/>
          <w:szCs w:val="24"/>
        </w:rPr>
        <w:t>Corto plazo: abrir una convocatoria de grabación colaborativa para las categorías de vocabulario con menos ejemplos y documentar licencias y participantes.</w:t>
      </w:r>
    </w:p>
    <w:p>
      <w:pPr>
        <w:pStyle w:val="ListParagraph"/>
        <w:spacing w:after="80" w:before="0" w:line="360" w:lineRule="auto"/>
        <w:ind w:left="360"/>
        <w:jc w:val="both"/>
      </w:pPr>
      <w:r>
        <w:rPr>
          <w:rFonts w:ascii="Times New Roman" w:cs="Times New Roman" w:eastAsia="Times New Roman" w:hAnsi="Times New Roman"/>
          <w:sz w:val="24"/>
          <w:szCs w:val="24"/>
        </w:rPr>
        <w:t>Mediano plazo: evaluar el modelo de vocabulario con usuarios sordos y hablantes de LSM que no formen parte del desarrollo, midiendo experiencia de uso además del accuracy.</w:t>
      </w:r>
    </w:p>
    <w:p>
      <w:pPr>
        <w:pStyle w:val="ListParagraph"/>
        <w:spacing w:after="80" w:before="0" w:line="360" w:lineRule="auto"/>
        <w:ind w:left="360"/>
        <w:jc w:val="both"/>
      </w:pPr>
      <w:r>
        <w:rPr>
          <w:rFonts w:ascii="Times New Roman" w:cs="Times New Roman" w:eastAsia="Times New Roman" w:hAnsi="Times New Roman"/>
          <w:sz w:val="24"/>
          <w:szCs w:val="24"/>
        </w:rPr>
        <w:t>Mediano plazo: probar el sistema en condiciones variables de iluminación, calidad de cámara y dispositivo, fuera del entorno controlado de recolección.</w:t>
      </w:r>
    </w:p>
    <w:p>
      <w:pPr>
        <w:pStyle w:val="ListParagraph"/>
        <w:spacing w:after="80" w:before="0" w:line="360" w:lineRule="auto"/>
        <w:ind w:left="360"/>
        <w:jc w:val="both"/>
      </w:pPr>
      <w:r>
        <w:rPr>
          <w:rFonts w:ascii="Times New Roman" w:cs="Times New Roman" w:eastAsia="Times New Roman" w:hAnsi="Times New Roman"/>
          <w:sz w:val="24"/>
          <w:szCs w:val="24"/>
        </w:rPr>
        <w:t>Largo plazo: valorar integraciones con Google Meet, Microsoft Teams y Zoom únicamente después de estabilizar el backend, el modelo y la política de confianza.</w:t>
      </w:r>
    </w:p>
    <w:p>
      <w:pPr>
        <w:spacing w:after="120" w:before="280" w:line="360" w:lineRule="auto"/>
        <w:jc w:val="left"/>
      </w:pPr>
      <w:r>
        <w:rPr>
          <w:rFonts w:ascii="Times New Roman" w:cs="Times New Roman" w:eastAsia="Times New Roman" w:hAnsi="Times New Roman"/>
          <w:b/>
          <w:bCs/>
          <w:sz w:val="24"/>
          <w:szCs w:val="24"/>
        </w:rPr>
        <w:t xml:space="preserve">9. GLOSARIO TÉCNICO</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Los siguientes términos técnicos se usan a lo largo de este documento; se listan aquí en orden temático para facilitar la lectura a quienes no estén familiarizados con aprendizaje automático.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shd w:fill="1565C0"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Término</w:t>
            </w:r>
          </w:p>
        </w:tc>
        <w:tc>
          <w:tcPr>
            <w:tcW w:type="dxa" w:w="7300"/>
            <w:shd w:fill="1565C0"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Definición</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Keypoint</w:t>
            </w:r>
          </w:p>
        </w:tc>
        <w:tc>
          <w:tcPr>
            <w:tcW w:type="dxa" w:w="7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Punto clave con coordenadas (x, y, z) que representa una articulación o referencia anatómica detectada por MediaPipe.</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Conv1D</w:t>
            </w:r>
          </w:p>
        </w:tc>
        <w:tc>
          <w:tcPr>
            <w:tcW w:type="dxa" w:w="7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Capa convolucional que opera sobre una dimensión (el tiempo), detectando patrones locales entre cuadros cercanos de una secuencia.</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BiLSTM</w:t>
            </w:r>
          </w:p>
        </w:tc>
        <w:tc>
          <w:tcPr>
            <w:tcW w:type="dxa" w:w="7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Red recurrente (LSTM) que procesa una secuencia en ambas direcciones, integrando el contexto temporal completo antes y después de cada punto.</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Softmax</w:t>
            </w:r>
          </w:p>
        </w:tc>
        <w:tc>
          <w:tcPr>
            <w:tcW w:type="dxa" w:w="7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Función que convierte las salidas de la red en probabilidades que suman 1, una por cada clase posible.</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Accuracy</w:t>
            </w:r>
          </w:p>
        </w:tc>
        <w:tc>
          <w:tcPr>
            <w:tcW w:type="dxa" w:w="7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Porcentaje de predicciones correctas sobre el total de muestras evaluadas.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Overfitting</w:t>
            </w:r>
          </w:p>
        </w:tc>
        <w:tc>
          <w:tcPr>
            <w:tcW w:type="dxa" w:w="7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Cuando un modelo memoriza el conjunto de entrenamiento en vez de aprender patrones generales, y su desempeño cae en datos nuevos.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Augmentación de datos</w:t>
            </w:r>
          </w:p>
        </w:tc>
        <w:tc>
          <w:tcPr>
            <w:tcW w:type="dxa" w:w="7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Generación de variantes artificiales de una muestra (rotación, escalado, ruido) para ampliar el dataset de entrenamiento.</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TFLite</w:t>
            </w:r>
          </w:p>
        </w:tc>
        <w:tc>
          <w:tcPr>
            <w:tcW w:type="dxa" w:w="7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Formato de TensorFlow optimizado para ejecutar modelos en dispositivos con recursos limitados (móviles, embebidos).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Cuantización</w:t>
            </w:r>
          </w:p>
        </w:tc>
        <w:tc>
          <w:tcPr>
            <w:tcW w:type="dxa" w:w="7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Técnica que reduce la precisión numérica de los pesos de un modelo para disminuir su tamaño en disco y memoria.</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Focal Loss</w:t>
            </w:r>
          </w:p>
        </w:tc>
        <w:tc>
          <w:tcPr>
            <w:tcW w:type="dxa" w:w="7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Función de pérdida que reduce el peso de los ejemplos fáciles y concentra el aprendizaje en los ejemplos difíciles o poco frecuentes.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Época (epoch)</w:t>
            </w:r>
          </w:p>
        </w:tc>
        <w:tc>
          <w:tcPr>
            <w:tcW w:type="dxa" w:w="7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Una pasada completa del algoritmo de entrenamiento sobre todo el conjunto de datos de entrenamiento.</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Matriz de confusión</w:t>
            </w:r>
          </w:p>
        </w:tc>
        <w:tc>
          <w:tcPr>
            <w:tcW w:type="dxa" w:w="7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Tabla que cruza las clases reales contra las clases predichas, mostrando en qué se equivoca el modelo con más frecuencia.</w:t>
            </w:r>
          </w:p>
        </w:tc>
      </w:tr>
    </w:tbl>
    <w:p>
      <w:pPr>
        <w:spacing w:after="120" w:before="280" w:line="360" w:lineRule="auto"/>
        <w:jc w:val="left"/>
      </w:pPr>
      <w:r>
        <w:rPr>
          <w:rFonts w:ascii="Times New Roman" w:cs="Times New Roman" w:eastAsia="Times New Roman" w:hAnsi="Times New Roman"/>
          <w:b/>
          <w:bCs/>
          <w:sz w:val="24"/>
          <w:szCs w:val="24"/>
        </w:rPr>
        <w:t xml:space="preserve">10. REFERENCIAS</w:t>
      </w:r>
    </w:p>
    <w:p>
      <w:pPr>
        <w:spacing w:after="140" w:before="0" w:line="360" w:lineRule="auto"/>
        <w:ind w:left="360" w:hanging="360"/>
        <w:jc w:val="both"/>
      </w:pPr>
      <w:r>
        <w:rPr>
          <w:rFonts w:ascii="Times New Roman" w:cs="Times New Roman" w:eastAsia="Times New Roman" w:hAnsi="Times New Roman"/>
          <w:sz w:val="24"/>
          <w:szCs w:val="24"/>
        </w:rPr>
        <w:t xml:space="preserve">[1] Instituto Nacional de Estadística y Geografía (INEGI). (2020). Censo de Población y Vivienda 2020. Discapacidad. https://www.inegi.org.mx/temas/discapacidad/</w:t>
      </w:r>
    </w:p>
    <w:p>
      <w:pPr>
        <w:spacing w:after="140" w:before="0" w:line="360" w:lineRule="auto"/>
        <w:ind w:left="360" w:hanging="360"/>
        <w:jc w:val="both"/>
      </w:pPr>
      <w:r>
        <w:rPr>
          <w:rFonts w:ascii="Times New Roman" w:cs="Times New Roman" w:eastAsia="Times New Roman" w:hAnsi="Times New Roman"/>
          <w:sz w:val="24"/>
          <w:szCs w:val="24"/>
        </w:rPr>
        <w:t xml:space="preserve">[2] Instituto Nacional de Estadística y Geografía (INEGI). (2021). Prevalencia de la población con discapacidad y/o problema o condición mental. Comunicado de prensa 713/21. https://www.inegi.org.mx/contenidos/saladeprensa/aproposito/2021/EAP_PersDiscap21.pdf</w:t>
      </w:r>
    </w:p>
    <w:p>
      <w:pPr>
        <w:spacing w:after="140" w:before="0" w:line="360" w:lineRule="auto"/>
        <w:ind w:left="360" w:hanging="360"/>
        <w:jc w:val="both"/>
      </w:pPr>
      <w:r>
        <w:rPr>
          <w:rFonts w:ascii="Times New Roman" w:cs="Times New Roman" w:eastAsia="Times New Roman" w:hAnsi="Times New Roman"/>
          <w:sz w:val="24"/>
          <w:szCs w:val="24"/>
        </w:rPr>
        <w:t xml:space="preserve">[3] Lugares, C. et al. (2024). Sign language images dataset from Mexican sign language. Data in Brief, 54. https://doi.org/10.1016/j.dib.2024.110533</w:t>
      </w:r>
    </w:p>
    <w:p>
      <w:pPr>
        <w:spacing w:after="140" w:before="0" w:line="360" w:lineRule="auto"/>
        <w:ind w:left="360" w:hanging="360"/>
        <w:jc w:val="both"/>
      </w:pPr>
      <w:r>
        <w:rPr>
          <w:rFonts w:ascii="Times New Roman" w:cs="Times New Roman" w:eastAsia="Times New Roman" w:hAnsi="Times New Roman"/>
          <w:sz w:val="24"/>
          <w:szCs w:val="24"/>
        </w:rPr>
        <w:t>[4] Google AI. (2024). MediaPipe Hand Landmarker. https://ai.google.dev/edge/mediapipe/solutions/vision/hand_landmarker</w:t>
      </w:r>
    </w:p>
    <w:p>
      <w:pPr>
        <w:spacing w:after="140" w:before="0" w:line="360" w:lineRule="auto"/>
        <w:ind w:left="360" w:hanging="360"/>
        <w:jc w:val="both"/>
      </w:pPr>
      <w:r>
        <w:rPr>
          <w:rFonts w:ascii="Times New Roman" w:cs="Times New Roman" w:eastAsia="Times New Roman" w:hAnsi="Times New Roman"/>
          <w:sz w:val="24"/>
          <w:szCs w:val="24"/>
        </w:rPr>
        <w:t xml:space="preserve">[5] Abecerril, A. et al. (2024). MSL-150 Dataset: Mexican Sign Language with Keypoints. GitHub. https://github.com/armandobecerril/MSL-150-Dataset</w:t>
      </w:r>
    </w:p>
    <w:p>
      <w:pPr>
        <w:spacing w:after="140" w:before="0" w:line="360" w:lineRule="auto"/>
        <w:ind w:left="360" w:hanging="360"/>
        <w:jc w:val="both"/>
      </w:pPr>
      <w:r>
        <w:rPr>
          <w:rFonts w:ascii="Times New Roman" w:cs="Times New Roman" w:eastAsia="Times New Roman" w:hAnsi="Times New Roman"/>
          <w:sz w:val="24"/>
          <w:szCs w:val="24"/>
        </w:rPr>
        <w:t xml:space="preserve">[6] Zhang, X. et al. (2020). HandAugment: A Simple Data Augmentation Method for 3D Hand Pose Estimation. arXiv:2003.10544.</w:t>
      </w:r>
    </w:p>
    <w:p>
      <w:pPr>
        <w:spacing w:after="140" w:before="0" w:line="360" w:lineRule="auto"/>
        <w:ind w:left="360" w:hanging="360"/>
        <w:jc w:val="both"/>
      </w:pPr>
      <w:r>
        <w:rPr>
          <w:rFonts w:ascii="Times New Roman" w:cs="Times New Roman" w:eastAsia="Times New Roman" w:hAnsi="Times New Roman"/>
          <w:sz w:val="24"/>
          <w:szCs w:val="24"/>
        </w:rPr>
        <w:t xml:space="preserve">[7] Chollet, F. (2021). Deep Learning with Python (2nd ed.). Manning Publications.</w:t>
      </w:r>
    </w:p>
    <w:p>
      <w:pPr>
        <w:spacing w:after="140" w:before="0" w:line="360" w:lineRule="auto"/>
        <w:ind w:left="360" w:hanging="360"/>
        <w:jc w:val="both"/>
      </w:pPr>
      <w:r>
        <w:rPr>
          <w:rFonts w:ascii="Times New Roman" w:cs="Times New Roman" w:eastAsia="Times New Roman" w:hAnsi="Times New Roman"/>
          <w:sz w:val="24"/>
          <w:szCs w:val="24"/>
        </w:rPr>
        <w:t xml:space="preserve">[8] UNESCO. (2023). Global Education Monitoring Report: Technology in Education. https://www.unesco.org/gem-report</w:t>
      </w:r>
    </w:p>
    <w:p>
      <w:pPr>
        <w:spacing w:after="140" w:before="0" w:line="360" w:lineRule="auto"/>
        <w:ind w:left="360" w:hanging="360"/>
        <w:jc w:val="both"/>
      </w:pPr>
      <w:r>
        <w:rPr>
          <w:rFonts w:ascii="Times New Roman" w:cs="Times New Roman" w:eastAsia="Times New Roman" w:hAnsi="Times New Roman"/>
          <w:sz w:val="24"/>
          <w:szCs w:val="24"/>
        </w:rPr>
        <w:t xml:space="preserve">[9] López Nava, I.H. et al. (2024). Daktilos: Plataforma de aprendizaje de LSM con visión por computadora. CICESE, Ensenada.</w:t>
      </w:r>
    </w:p>
    <w:p>
      <w:pPr>
        <w:spacing w:after="140" w:before="0" w:line="360" w:lineRule="auto"/>
        <w:ind w:left="360" w:hanging="360"/>
        <w:jc w:val="both"/>
      </w:pPr>
      <w:r>
        <w:rPr>
          <w:rFonts w:ascii="Times New Roman" w:cs="Times New Roman" w:eastAsia="Times New Roman" w:hAnsi="Times New Roman"/>
          <w:sz w:val="24"/>
          <w:szCs w:val="24"/>
        </w:rPr>
        <w:t xml:space="preserve">[10] Martínez, R. et al. (2024). Reconocimiento de la Lengua de Señas Mexicana usando Deep Learning. Ciencia Latina, 8(4), 14458.</w:t>
      </w:r>
    </w:p>
    <w:p>
      <w:pPr>
        <w:spacing w:after="140" w:before="0" w:line="360" w:lineRule="auto"/>
        <w:ind w:left="360" w:hanging="360"/>
        <w:jc w:val="both"/>
      </w:pPr>
      <w:r>
        <w:rPr>
          <w:rFonts w:ascii="Times New Roman" w:cs="Times New Roman" w:eastAsia="Times New Roman" w:hAnsi="Times New Roman"/>
          <w:sz w:val="24"/>
          <w:szCs w:val="24"/>
        </w:rPr>
        <w:t xml:space="preserve">[11] RIDE Revista. (2025). Aplicación Móvil Basada en Deep Learning para la Inclusión Educativa de Personas Sordas. RIDE, 15(29).</w:t>
      </w:r>
    </w:p>
    <w:p>
      <w:pPr>
        <w:spacing w:after="140" w:before="0" w:line="360" w:lineRule="auto"/>
        <w:ind w:left="360" w:hanging="360"/>
        <w:jc w:val="both"/>
      </w:pPr>
      <w:r>
        <w:rPr>
          <w:rFonts w:ascii="Times New Roman" w:cs="Times New Roman" w:eastAsia="Times New Roman" w:hAnsi="Times New Roman"/>
          <w:sz w:val="24"/>
          <w:szCs w:val="24"/>
        </w:rPr>
        <w:t xml:space="preserve">[12] EnSeñas AI. (2026). The Neural Translation Engine. https://ensenas.ai/</w:t>
      </w:r>
    </w:p>
    <w:p>
      <w:pPr>
        <w:spacing w:after="140" w:before="0" w:line="360" w:lineRule="auto"/>
        <w:ind w:left="360" w:hanging="360"/>
        <w:jc w:val="both"/>
      </w:pPr>
      <w:r>
        <w:rPr>
          <w:rFonts w:ascii="Times New Roman" w:cs="Times New Roman" w:eastAsia="Times New Roman" w:hAnsi="Times New Roman"/>
          <w:sz w:val="24"/>
          <w:szCs w:val="24"/>
        </w:rPr>
        <w:t xml:space="preserve">[13] IMON. (2024). Desafíos de las personas sordas. Excélsior. https://www.excelsior.com.mx/nacional/inclusion-personas-sordas/1676008</w:t>
      </w:r>
    </w:p>
    <w:p>
      <w:pPr>
        <w:spacing w:after="140" w:before="0" w:line="360" w:lineRule="auto"/>
        <w:ind w:left="360" w:hanging="360"/>
        <w:jc w:val="both"/>
      </w:pPr>
      <w:r>
        <w:rPr>
          <w:rFonts w:ascii="Times New Roman" w:cs="Times New Roman" w:eastAsia="Times New Roman" w:hAnsi="Times New Roman"/>
          <w:sz w:val="24"/>
          <w:szCs w:val="24"/>
        </w:rPr>
        <w:t xml:space="preserve">[14] INEGI. (2022). Encuesta Nacional sobre Discriminación (ENADIS) 2022. https://www.inegi.org.mx/programas/enadis/2022/</w:t>
      </w:r>
    </w:p>
    <w:p>
      <w:pPr>
        <w:spacing w:after="140" w:before="0" w:line="360" w:lineRule="auto"/>
        <w:ind w:left="360" w:hanging="360"/>
        <w:jc w:val="both"/>
      </w:pPr>
      <w:r>
        <w:rPr>
          <w:rFonts w:ascii="Times New Roman" w:cs="Times New Roman" w:eastAsia="Times New Roman" w:hAnsi="Times New Roman"/>
          <w:sz w:val="24"/>
          <w:szCs w:val="24"/>
        </w:rPr>
        <w:t xml:space="preserve">[15] Caballero Hernández, X. (2025). Desarrollo de Software dedicado a la traducción de la Lengua Mexicana de Señas mediante Deep Learning y Machine Learning. PAAKAT: Revista de Tecnología y Sociedad. https://paakat.cugdl.udg.mx/index.php/paakat/article/view/897</w:t>
      </w:r>
    </w:p>
    <w:p>
      <w:pPr>
        <w:spacing w:after="140" w:before="0" w:line="360" w:lineRule="auto"/>
        <w:ind w:left="360" w:hanging="360"/>
        <w:jc w:val="both"/>
      </w:pPr>
      <w:r>
        <w:rPr>
          <w:rFonts w:ascii="Times New Roman" w:cs="Times New Roman" w:eastAsia="Times New Roman" w:hAnsi="Times New Roman"/>
          <w:sz w:val="24"/>
          <w:szCs w:val="24"/>
        </w:rPr>
        <w:t xml:space="preserve">[16] Lugares, I., et al. (2025). Mexican Sign Language Recognition Dataset. MDPI Electronics, 14(7), 1423. https://www.mdpi.com/2079-9292/14/7/1423</w:t>
      </w:r>
    </w:p>
    <w:p>
      <w:pPr>
        <w:spacing w:after="140" w:before="0" w:line="360" w:lineRule="auto"/>
        <w:ind w:left="360" w:hanging="360"/>
        <w:jc w:val="both"/>
      </w:pPr>
      <w:r>
        <w:rPr>
          <w:rFonts w:ascii="Times New Roman" w:cs="Times New Roman" w:eastAsia="Times New Roman" w:hAnsi="Times New Roman"/>
          <w:sz w:val="24"/>
          <w:szCs w:val="24"/>
        </w:rPr>
        <w:t xml:space="preserve">[17] ADN40. (2024). Guante traductor de Lengua de Señas Mexicana del IPN gana premio James Dyson Award México. https://www.adn40.mx/ciencia/2024-10-31/ipn-guante-traductor-lengua-senas-mexicana-gana-premio-internacional/</w:t>
      </w:r>
    </w:p>
    <w:p>
      <w:pPr>
        <w:spacing w:after="140" w:before="0" w:line="360" w:lineRule="auto"/>
        <w:ind w:left="360" w:hanging="360"/>
        <w:jc w:val="both"/>
      </w:pPr>
      <w:r>
        <w:rPr>
          <w:rFonts w:ascii="Times New Roman" w:cs="Times New Roman" w:eastAsia="Times New Roman" w:hAnsi="Times New Roman"/>
          <w:sz w:val="24"/>
          <w:szCs w:val="24"/>
        </w:rPr>
        <w:t xml:space="preserve">[18] Grand View Research. (2024). Digital Accessibility Software Market Size &amp; Share Report, 2024–2030. https://www.grandviewresearch.com/industry-analysis/digital-accessibility-software-market-report</w:t>
      </w:r>
    </w:p>
    <w:p>
      <w:pPr>
        <w:spacing w:after="140" w:before="0" w:line="360" w:lineRule="auto"/>
        <w:ind w:left="360" w:hanging="360"/>
        <w:jc w:val="both"/>
      </w:pPr>
      <w:r>
        <w:rPr>
          <w:rFonts w:ascii="Times New Roman" w:cs="Times New Roman" w:eastAsia="Times New Roman" w:hAnsi="Times New Roman"/>
          <w:sz w:val="24"/>
          <w:szCs w:val="24"/>
        </w:rPr>
        <w:t xml:space="preserve">[19] La Jornada. (2024, diciembre 3). Daktilos y Sordbo, herramientas del CICESE para la comunidad sorda. https://www.jornada.com.mx/2024/12/03/ciencias/a06n1cie</w:t>
      </w:r>
    </w:p>
    <w:p>
      <w:pPr>
        <w:spacing w:after="140" w:before="0" w:line="360" w:lineRule="auto"/>
        <w:ind w:left="360" w:hanging="360"/>
        <w:jc w:val="both"/>
      </w:pPr>
      <w:r>
        <w:rPr>
          <w:rFonts w:ascii="Times New Roman" w:cs="Times New Roman" w:eastAsia="Times New Roman" w:hAnsi="Times New Roman"/>
          <w:sz w:val="24"/>
          <w:szCs w:val="24"/>
        </w:rPr>
        <w:t xml:space="preserve">[20] Dilo con Señas. (2024). Aplicación para aprender Lengua de Señas Mexicana. Asociación Civil, Monterrey. https://nacersordo.com/en/apps/</w:t>
      </w:r>
    </w:p>
    <w:p>
      <w:pPr>
        <w:spacing w:after="140" w:before="0" w:line="360" w:lineRule="auto"/>
        <w:ind w:left="360" w:hanging="360"/>
        <w:jc w:val="both"/>
      </w:pPr>
      <w:r>
        <w:rPr>
          <w:rFonts w:ascii="Times New Roman" w:cs="Times New Roman" w:eastAsia="Times New Roman" w:hAnsi="Times New Roman"/>
          <w:sz w:val="24"/>
          <w:szCs w:val="24"/>
        </w:rPr>
        <w:t xml:space="preserve">[21] Instituto Nacional de Estadística y Geografía (INEGI) y Consejo Nacional de Población (CONAPO). (2014). Encuesta Nacional de la Dinámica Demográfica (ENADID) 2014.</w:t>
      </w:r>
    </w:p>
    <w:p>
      <w:pPr>
        <w:spacing w:line="360" w:lineRule="auto"/>
      </w:pPr>
      <w:r>
        <w:rPr>
          <w:rFonts w:ascii="Times New Roman" w:hAnsi="Times New Roman" w:eastAsia="Times New Roman"/>
          <w:b w:val="0"/>
          <w:sz w:val="24"/>
        </w:rPr>
        <w:t>[24] Hilario-Acuapan, G., Ordaz-Hernández, K., Castelán, M. y Lopez-Juarez, I. (2025). Toward a Recognition System for Mexican Sign Language: Arm Movement Detection. Sensors, 25(12), 3636. https://doi.org/10.3390/s25123636</w:t>
      </w:r>
    </w:p>
    <w:p>
      <w:pPr>
        <w:spacing w:line="360" w:lineRule="auto"/>
      </w:pPr>
      <w:r>
        <w:rPr>
          <w:rFonts w:ascii="Times New Roman" w:hAnsi="Times New Roman" w:eastAsia="Times New Roman"/>
          <w:b w:val="0"/>
          <w:sz w:val="24"/>
        </w:rPr>
        <w:t>[23] Navarrete-López, J. A., Sainos-Vizuett, M. y Lopez-Nava, I. H. (2026). Automatic recognition of dynamic signs of Mexican sign language using deep learning. Frontiers in Artificial Intelligence, 9. https://doi.org/10.3389/frai.2026.1794923</w:t>
      </w:r>
    </w:p>
    <w:p>
      <w:pPr>
        <w:spacing w:line="360" w:lineRule="auto"/>
      </w:pPr>
      <w:r>
        <w:rPr>
          <w:rFonts w:ascii="Times New Roman" w:hAnsi="Times New Roman" w:eastAsia="Times New Roman"/>
          <w:b w:val="0"/>
          <w:sz w:val="24"/>
        </w:rPr>
        <w:t>[22] Google DeepMind. (2026, 12 de agosto). Putting sign language AI into users’ hands: SL2T. https://deepmind.google/blog/putting-sign-language-ai-into-users-hands/</w:t>
      </w:r>
    </w:p>
    <w:p>
      <w:pPr>
        <w:spacing w:after="120" w:before="280" w:line="360" w:lineRule="auto"/>
        <w:jc w:val="left"/>
      </w:pPr>
      <w:r>
        <w:rPr>
          <w:rFonts w:ascii="Times New Roman" w:cs="Times New Roman" w:eastAsia="Times New Roman" w:hAnsi="Times New Roman"/>
          <w:b/>
          <w:bCs/>
          <w:sz w:val="24"/>
          <w:szCs w:val="24"/>
        </w:rPr>
        <w:t xml:space="preserve">11. PENDIENTES ANTES DE LA VERSIÓN FINAL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Esta sección concentra los elementos que todavía requieren información o material del equipo antes de que el documento esté listo para entrega. Se listan aquí, en un solo lugar, para facilitar el seguimiento.</w:t>
      </w:r>
    </w:p>
    <w:p>
      <w:pPr>
        <w:spacing w:after="100" w:before="220" w:line="360" w:lineRule="auto"/>
        <w:jc w:val="left"/>
      </w:pPr>
      <w:r>
        <w:rPr>
          <w:rFonts w:ascii="Times New Roman" w:cs="Times New Roman" w:eastAsia="Times New Roman" w:hAnsi="Times New Roman"/>
          <w:b/>
          <w:bCs/>
          <w:sz w:val="24"/>
          <w:szCs w:val="24"/>
        </w:rPr>
        <w:t xml:space="preserve">Datos por confirmar</w:t>
      </w:r>
    </w:p>
    <w:p>
      <w:pPr>
        <w:pStyle w:val="ListParagraph"/>
        <w:spacing w:after="80" w:before="0" w:line="360" w:lineRule="auto"/>
        <w:ind w:left="360"/>
        <w:jc w:val="both"/>
      </w:pPr>
      <w:r>
        <w:rPr>
          <w:rFonts w:ascii="Times New Roman" w:cs="Times New Roman" w:eastAsia="Times New Roman" w:hAnsi="Times New Roman"/>
          <w:sz w:val="24"/>
          <w:szCs w:val="24"/>
        </w:rPr>
        <w:t xml:space="preserve">Número de FIPI, nombres reales de los participantes y del asesor (portada) — actualmente son texto de marcador de posición.</w:t>
      </w:r>
    </w:p>
    <w:p>
      <w:pPr>
        <w:pStyle w:val="ListParagraph"/>
        <w:spacing w:after="80" w:before="0" w:line="360" w:lineRule="auto"/>
        <w:ind w:left="360"/>
        <w:jc w:val="both"/>
      </w:pPr>
      <w:r>
        <w:rPr>
          <w:rFonts w:ascii="Times New Roman" w:cs="Times New Roman" w:eastAsia="Times New Roman" w:hAnsi="Times New Roman"/>
          <w:sz w:val="24"/>
          <w:szCs w:val="24"/>
        </w:rPr>
        <w:t>Documentar el estado real de la letra Ñ en los manifiestos y no asumir que una etiqueta nominal equivale a muestras utilizables.</w:t>
      </w:r>
    </w:p>
    <w:p>
      <w:pPr>
        <w:pStyle w:val="ListParagraph"/>
        <w:spacing w:after="80" w:before="0" w:line="360" w:lineRule="auto"/>
        <w:ind w:left="360"/>
        <w:jc w:val="both"/>
      </w:pPr>
      <w:r>
        <w:rPr>
          <w:rFonts w:ascii="Times New Roman" w:cs="Times New Roman" w:eastAsia="Times New Roman" w:hAnsi="Times New Roman"/>
          <w:sz w:val="24"/>
          <w:szCs w:val="24"/>
        </w:rPr>
        <w:t>Confirmar con la convocatoria la categoría oficial, conservando los datos administrativos que entregue el equipo.</w:t>
      </w:r>
    </w:p>
    <w:p>
      <w:pPr>
        <w:pStyle w:val="ListParagraph"/>
        <w:spacing w:after="80" w:before="0" w:line="360" w:lineRule="auto"/>
        <w:ind w:left="360"/>
        <w:jc w:val="both"/>
      </w:pPr>
      <w:r>
        <w:rPr>
          <w:rFonts w:ascii="Times New Roman" w:cs="Times New Roman" w:eastAsia="Times New Roman" w:hAnsi="Times New Roman"/>
          <w:sz w:val="24"/>
          <w:szCs w:val="24"/>
        </w:rPr>
        <w:t>Registrar el tiempo de entrenamiento, el dispositivo y la versión exacta del entorno para cada corrida reproducible.</w:t>
      </w:r>
    </w:p>
    <w:p>
      <w:pPr>
        <w:pStyle w:val="ListParagraph"/>
        <w:spacing w:after="80" w:before="0" w:line="360" w:lineRule="auto"/>
        <w:ind w:left="360"/>
        <w:jc w:val="both"/>
      </w:pPr>
      <w:r>
        <w:rPr>
          <w:rFonts w:ascii="Times New Roman" w:cs="Times New Roman" w:eastAsia="Times New Roman" w:hAnsi="Times New Roman"/>
          <w:sz w:val="24"/>
          <w:szCs w:val="24"/>
        </w:rPr>
        <w:t>Identificar con el manifiesto las letras que necesitan más datos; no incluir una lista específica hasta verificarla.</w:t>
      </w:r>
    </w:p>
    <w:p>
      <w:pPr>
        <w:spacing w:after="100" w:before="220" w:line="360" w:lineRule="auto"/>
        <w:jc w:val="left"/>
      </w:pPr>
      <w:r>
        <w:rPr>
          <w:rFonts w:ascii="Times New Roman" w:cs="Times New Roman" w:eastAsia="Times New Roman" w:hAnsi="Times New Roman"/>
          <w:b/>
          <w:bCs/>
          <w:sz w:val="24"/>
          <w:szCs w:val="24"/>
        </w:rPr>
        <w:t xml:space="preserve">Documentación de cumplimiento</w:t>
      </w:r>
    </w:p>
    <w:p>
      <w:pPr>
        <w:pStyle w:val="ListParagraph"/>
        <w:spacing w:after="80" w:before="0" w:line="360" w:lineRule="auto"/>
        <w:ind w:left="360"/>
        <w:jc w:val="both"/>
      </w:pPr>
      <w:r>
        <w:rPr>
          <w:rFonts w:ascii="Times New Roman" w:cs="Times New Roman" w:eastAsia="Times New Roman" w:hAnsi="Times New Roman"/>
          <w:sz w:val="24"/>
          <w:szCs w:val="24"/>
        </w:rPr>
        <w:t xml:space="preserve">Constancia de consentimiento informado de las personas fotografiadas o grabadas para el dataset, si el proyecto la requiere para la fase de evaluación de cumplimiento de FEMECI.</w:t>
      </w:r>
    </w:p>
    <w:p>
      <w:pPr>
        <w:pStyle w:val="ListParagraph"/>
        <w:spacing w:after="80" w:before="0" w:line="360" w:lineRule="auto"/>
        <w:ind w:left="360"/>
        <w:jc w:val="both"/>
      </w:pPr>
      <w:r>
        <w:rPr>
          <w:rFonts w:ascii="Times New Roman" w:cs="Times New Roman" w:eastAsia="Times New Roman" w:hAnsi="Times New Roman"/>
          <w:sz w:val="24"/>
          <w:szCs w:val="24"/>
        </w:rPr>
        <w:t xml:space="preserve">Confirmar si la convocatoria de este año pide una sección de presupuesto ("Presupuesto") no incluida actualmente.</w:t>
      </w:r>
    </w:p>
    <w:p/>
    <w:p/>
    <w:p/>
    <w:p/>
    <w:p/>
    <w:p/>
    <w:p/>
    <w:p/>
    <w:p/>
    <w:p/>
    <w:p/>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
    <w:p/>
    <w:p/>
    <w:p/>
    <w:p/>
    <w:p/>
    <w:sectPr>
      <w:headerReference w:type="default" r:id="rId36"/>
      <w:footerReference w:type="default" r:id="rId37"/>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5" Type="http://schemas.openxmlformats.org/officeDocument/2006/relationships/fontTable" Target="fontTable.xml"/><Relationship Id="rId36" Type="http://schemas.openxmlformats.org/officeDocument/2006/relationships/header" Target="header1.xml"/><Relationship Id="rId37"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2026-07-29T01:51:13.929Z</dcterms:created>
  <dcterms:modified xsi:type="dcterms:W3CDTF">2026-07-29T01:51:13.943Z</dcterms:modified>
</cp:coreProperties>
</file>

<file path=docProps/custom.xml><?xml version="1.0" encoding="utf-8"?>
<Properties xmlns="http://schemas.openxmlformats.org/officeDocument/2006/custom-properties" xmlns:vt="http://schemas.openxmlformats.org/officeDocument/2006/docPropsVTypes"/>
</file>