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sz w:val="40"/>
          <w:szCs w:val="40"/>
          <w:lang w:val="pt-BR"/>
        </w:rPr>
        <w:t>380 BEAM MOVING HEAD</w:t>
      </w: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>BEAM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SPL MH 380 BEAM 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bookmarkStart w:id="0" w:name="_GoBack"/>
      <w:bookmarkEnd w:id="0"/>
    </w:p>
    <w:p>
      <w:pP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  <w:t xml:space="preserve">INFORMAÇÕES: 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Original 380W lamp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215,000lux at 10m &amp; beam angle 2°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Precise and fast Pan/Tilt movement 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Motorized focus,frost filter,split color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12 gobos+open+14colors plus open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voltage: AC100-240V 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consumption: 500W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Fuse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8A/250V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，￠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5*16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IP rating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Cooling method: fan cool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Max ambient temp: 45℃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Case color: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Lamp: 380W 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Color Temp: 8000K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Average lifespan: 2,000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DMX channel: 16CH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DMX connector: 3Pin XLR input/output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connector: PowerCon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Control mode: DMX/master-slave/auto/sound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Pan: 540º16bits, Tilt: 270º16bits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Precise and fast Pan/Tilt movements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Motorized focus, frost, split color and rainbow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3-phase motor for Pan/Tilt, automatic position correction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Static gobo wheel: 12gobos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Static color wheel: 14colors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1pc rainbow effect wheel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Prism 1: 12-facet , prism 2: 8+16-facet rotating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Color: 14 colors+open, split color, rainbow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Beam angle: 2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Dimming: 0-100%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Strobe: 0-25Hz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Lux : 215,000Lux @ 10m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Product dimension: 33*27*56.5cm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N.W: 16.4KG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instrText xml:space="preserve"> HYPERLINK "http://www.sparklaser.com/en/products/170.html" </w:instrTex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Arial" w:hAnsi="Arial" w:cs="Arial"/>
          <w:color w:val="auto"/>
          <w:sz w:val="24"/>
          <w:szCs w:val="24"/>
          <w:lang w:val="pt-BR"/>
        </w:rPr>
        <w:t>http://www.sparklaser.com/en/products/170.html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A927CB5"/>
    <w:rsid w:val="23314CAB"/>
    <w:rsid w:val="2F7E685C"/>
    <w:rsid w:val="43A66D80"/>
    <w:rsid w:val="4E83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2024-05-22T19:33:34Z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B6A2C89D36AE4990B7EBA5B658F98FF2_13</vt:lpwstr>
  </property>
</Properties>
</file>