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 xml:space="preserve">Paper Title* (use style: </w:t>
      </w:r>
      <w:r>
        <w:rPr>
          <w:iCs/>
          <w:kern w:val="48"/>
        </w:rPr>
        <w:t>paper title</w:t>
      </w:r>
      <w:r>
        <w:rPr>
          <w:kern w:val="48"/>
        </w:rPr>
        <w:t>)</w:t>
      </w:r>
    </w:p>
    <w:p w14:paraId="126AE899">
      <w:pPr>
        <w:pStyle w:val="16"/>
        <w:spacing w:before="100" w:beforeAutospacing="1" w:after="100" w:afterAutospacing="1" w:line="120" w:lineRule="auto"/>
        <w:rPr>
          <w:sz w:val="16"/>
          <w:szCs w:val="16"/>
        </w:rPr>
        <w:sectPr>
          <w:footerReference r:id="rId3" w:type="first"/>
          <w:pgSz w:w="11906" w:h="16838"/>
          <w:pgMar w:top="540" w:right="893" w:bottom="1440" w:left="893" w:header="720" w:footer="720" w:gutter="0"/>
          <w:cols w:space="720" w:num="1"/>
          <w:titlePg/>
          <w:docGrid w:linePitch="360" w:charSpace="0"/>
        </w:sectPr>
      </w:pP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
          <w:iCs/>
        </w:rPr>
        <w:t>Abstract</w:t>
      </w:r>
      <w:r>
        <w:t xml:space="preserve">—This electronic document is a “live” template and already defines the components of your paper [title, text, heads, etc.] in its style sheet.  </w:t>
      </w: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t xml:space="preserve">. </w:t>
      </w:r>
      <w:r>
        <w:rPr>
          <w:iCs/>
        </w:rPr>
        <w:t>(</w:t>
      </w:r>
      <w:r>
        <w:rPr>
          <w:b w:val="0"/>
          <w:i/>
          <w:iCs/>
        </w:rPr>
        <w:t>Abstract</w:t>
      </w:r>
      <w:r>
        <w:rPr>
          <w:iCs/>
        </w:rPr>
        <w:t>)</w:t>
      </w:r>
    </w:p>
    <w:p w14:paraId="203F52DC">
      <w:pPr>
        <w:pStyle w:val="31"/>
      </w:pPr>
      <w:r>
        <w:t>Keywords—component, formatting, style, styling, insert (</w:t>
      </w:r>
      <w:r>
        <w:rPr>
          <w:b w:val="0"/>
        </w:rPr>
        <w:t>key words</w:t>
      </w:r>
      <w:r>
        <w:t>)</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consumer behavior, product sales, 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The dataset consists of 185,950 records of retail sales transactions for 2019. Each record refers to one sale, and it comprises details on the product, the quantity sold, the unit price, time of sale, revenue earned from the sale,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are as follows:</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no missing values</w:t>
      </w:r>
      <w:r>
        <w:rPr>
          <w:rFonts w:hint="default"/>
          <w:lang w:val="en-NZ"/>
        </w:rPr>
        <w:t xml:space="preserve"> and duplicated records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to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one-hot encoding</w:t>
      </w:r>
      <w:r>
        <w:rPr>
          <w:rFonts w:hint="eastAsia"/>
          <w:lang w:val="en-US" w:eastAsia="zh-CN"/>
        </w:rPr>
        <w:t xml:space="preserve"> technique</w:t>
      </w:r>
      <w:r>
        <w:rPr>
          <w:rFonts w:hint="default"/>
          <w:lang w:val="en-NZ"/>
        </w:rPr>
        <w:t>.</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lang w:val="en-NZ"/>
        </w:rPr>
      </w:pPr>
      <w:r>
        <w:rPr>
          <w:rFonts w:hint="default"/>
          <w:lang w:val="en-NZ"/>
        </w:rPr>
        <w:t xml:space="preserve">An overview on data distribution </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are severely right skewed according to Fig. 1, while </w:t>
      </w:r>
      <w:r>
        <w:rPr>
          <w:rFonts w:hint="default"/>
          <w:i/>
          <w:iCs/>
          <w:lang w:val="en-NZ"/>
        </w:rPr>
        <w:t>Quantity Ordered</w:t>
      </w:r>
      <w:r>
        <w:rPr>
          <w:rFonts w:hint="default"/>
          <w:lang w:val="en-NZ"/>
        </w:rPr>
        <w:t xml:space="preserve"> mainly concentrated at 1. </w:t>
      </w:r>
      <w:r>
        <w:rPr>
          <w:rFonts w:hint="eastAsia"/>
          <w:lang w:val="en-US" w:eastAsia="zh-CN"/>
        </w:rPr>
        <w:t>This means most customers purchase single product per order at lower prices.</w:t>
      </w:r>
    </w:p>
    <w:p w14:paraId="4E13FDAD">
      <w:pPr>
        <w:pStyle w:val="20"/>
      </w:pPr>
      <w:r>
        <w:rPr>
          <w:rFonts w:hint="default"/>
          <w:lang w:val="en-NZ"/>
        </w:rPr>
        <w:t>Boxplots</w:t>
      </w:r>
      <w:r>
        <w:rPr>
          <w:rFonts w:hint="eastAsia"/>
          <w:iCs/>
          <w:lang w:val="en-US" w:eastAsia="zh-CN"/>
        </w:rPr>
        <w:t xml:space="preserve"> of Numerical Features in the Dataset</w:t>
      </w:r>
    </w:p>
    <w:p w14:paraId="5627DD11">
      <w:pPr>
        <w:pStyle w:val="7"/>
        <w:ind w:left="0" w:leftChars="0" w:firstLine="0" w:firstLineChars="0"/>
        <w:rPr>
          <w:rFonts w:hint="default"/>
          <w:lang w:val="en-NZ"/>
        </w:rPr>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-128270</wp:posOffset>
                </wp:positionH>
                <wp:positionV relativeFrom="paragraph">
                  <wp:posOffset>3175</wp:posOffset>
                </wp:positionV>
                <wp:extent cx="3265805" cy="1299845"/>
                <wp:effectExtent l="0" t="0" r="3175" b="4445"/>
                <wp:wrapTight wrapText="bothSides">
                  <wp:wrapPolygon>
                    <wp:start x="0" y="0"/>
                    <wp:lineTo x="0" y="20988"/>
                    <wp:lineTo x="21020" y="20988"/>
                    <wp:lineTo x="21020" y="0"/>
                    <wp:lineTo x="0" y="0"/>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D3B83C5">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0.1pt;margin-top:0.25pt;height:102.35pt;width:257.15pt;mso-position-horizontal-relative:margin;mso-wrap-distance-left:9pt;mso-wrap-distance-right:9pt;z-index:-251656192;mso-width-relative:page;mso-height-relative:page;" fillcolor="#FFFFFF" filled="t" stroked="f" coordsize="21600,21600" wrapcoords="0 0 0 20988 21020 20988 21020 0 0 0" o:gfxdata="UEsDBAoAAAAAAIdO4kAAAAAAAAAAAAAAAAAEAAAAZHJzL1BLAwQUAAAACACHTuJA3hZ5wdYAAAAI&#10;AQAADwAAAGRycy9kb3ducmV2LnhtbE2PMU/DMBSEdyT+g/WQ2Fo7IYloyEsHpE7AQFuJ9TV+TSJi&#10;O8ROG/49ZoLxdKe776rtYgZx4cn3ziIkawWCbeN0b1uE42G3egThA1lNg7OM8M0etvXtTUWldlf7&#10;zpd9aEUssb4khC6EsZTSNx0b8ms3so3e2U2GQpRTK/VE11huBpkqVUhDvY0LHY383HHzuZ8NAhWZ&#10;/no7P7weXuaCNu2idvmHQry/S9QTiMBL+AvDL35EhzoyndxstRcDwipVaYwi5CCinW2yBMQJIVV5&#10;CrKu5P8D9Q9QSwMEFAAAAAgAh07iQO8479IfAgAARgQAAA4AAABkcnMvZTJvRG9jLnhtbK1TwW7b&#10;MAy9D9g/CLqvTrykS4w6Rdeiw4BiLdDuAxRZjoVJokYpsbuvHyW7WdZdepgPhiiST+89UReXgzXs&#10;oDBocDWfn804U05Co92u5t+fbj+sOAtRuEYYcKrmzyrwy837dxe9r1QJHZhGISMQF6re17yL0VdF&#10;EWSnrAhn4JWjZAtoRaQQd0WDoid0a4pyNjsvesDGI0gVAu3ejEk+IeJbAKFttVQ3IPdWuTiiojIi&#10;kqTQaR/4JrNtWyXjfdsGFZmpOSmN+U+H0Hqb/sXmQlQ7FL7TcqIg3kLhlSYrtKNDj1A3Igq2R/0P&#10;lNUSIUAbzyTYYhSSHSEV89krbx474VXWQlYHfzQ9/D9Y+e3wgEw3NS85c8LShT+pIbLPMLBVcqf3&#10;oaKiR/+ASV/wdyB/BObguhNup64Qoe+UaIjTPNUXfzWkIEytQ4s2QZBoNuQbeD7eQDpS0ubH8ny5&#10;mi05k5Sbl+v1arHMqKJ6afcY4hcFlqVFzZGuODsvDnchJgKieinJhMHo5lYbkwPcba8NsoOgcbjN&#10;34QeTsuMY33N18tymZEdpP48KVZHGn6jbc1Xs/RN7cZNykexSXYctsPk3xaaZ3IZYRw/eny06AB/&#10;cdbT6NU8/NwLVJyZr458XM8XizSrOVgsP5UU4Glme5oRThJUzSNn4/I6jvO996h3HZ00n1Rc7SO0&#10;OnuUCI6sJt40Xtm66Smk+T2Nc9Wf57/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N4WecHWAAAA&#10;CAEAAA8AAAAAAAAAAQAgAAAAIgAAAGRycy9kb3ducmV2LnhtbFBLAQIUABQAAAAIAIdO4kDvOO/S&#10;HwIAAEYEAAAOAAAAAAAAAAEAIAAAACUBAABkcnMvZTJvRG9jLnhtbFBLBQYAAAAABgAGAFkBAAC2&#10;BQAAAAA=&#10;">
                <v:fill on="t" focussize="0,0"/>
                <v:stroke on="f"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lang w:val="en-US" w:eastAsia="zh-CN"/>
        </w:rPr>
        <w:t xml:space="preserve">With details shown in Table II, 75% of the products were priced less than $150. Several extremely high-valued (e.g. $1700 per each) products contributed as outliers. These observations </w:t>
      </w:r>
      <w:r>
        <w:rPr>
          <w:rFonts w:hint="default"/>
          <w:lang w:val="en-NZ" w:eastAsia="zh-CN"/>
        </w:rPr>
        <w:t xml:space="preserve">were considered as </w:t>
      </w:r>
      <w:r>
        <w:rPr>
          <w:rFonts w:hint="eastAsia"/>
          <w:lang w:val="en-US" w:eastAsia="zh-CN"/>
        </w:rPr>
        <w:t>genuine purchases of expensive products rather than data quality issues and were therefore retained for subsequent analysis.</w:t>
      </w:r>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A405285">
      <w:pPr>
        <w:pStyle w:val="7"/>
        <w:ind w:left="0" w:leftChars="0" w:firstLine="0" w:firstLineChars="0"/>
        <w:rPr>
          <w:rFonts w:hint="eastAsia" w:eastAsia="SimSun"/>
          <w:lang w:val="en-NZ" w:eastAsia="zh-CN"/>
        </w:rPr>
      </w:pPr>
    </w:p>
    <w:p w14:paraId="052C4297">
      <w:pPr>
        <w:pStyle w:val="3"/>
      </w:pPr>
      <w:r>
        <w:rPr>
          <w:rFonts w:hint="default"/>
          <w:lang w:val="en-NZ"/>
        </w:rPr>
        <w:t>Sales Patterns</w:t>
      </w:r>
    </w:p>
    <w:p w14:paraId="0E0354B4">
      <w:pPr>
        <w:pStyle w:val="18"/>
      </w:pPr>
      <w:r>
        <w:rPr>
          <w:rFonts w:hint="default"/>
          <w:lang w:val="en-US"/>
        </w:rPr>
        <mc:AlternateContent>
          <mc:Choice Requires="wps">
            <w:drawing>
              <wp:anchor distT="0" distB="0" distL="114300" distR="114300" simplePos="0" relativeHeight="251661312" behindDoc="1" locked="0" layoutInCell="1" allowOverlap="1">
                <wp:simplePos x="0" y="0"/>
                <wp:positionH relativeFrom="margin">
                  <wp:posOffset>-74295</wp:posOffset>
                </wp:positionH>
                <wp:positionV relativeFrom="paragraph">
                  <wp:posOffset>640080</wp:posOffset>
                </wp:positionV>
                <wp:extent cx="3265805" cy="1299845"/>
                <wp:effectExtent l="0" t="0" r="3175" b="4445"/>
                <wp:wrapTight wrapText="bothSides">
                  <wp:wrapPolygon>
                    <wp:start x="0" y="0"/>
                    <wp:lineTo x="0" y="20988"/>
                    <wp:lineTo x="21020" y="20988"/>
                    <wp:lineTo x="21020" y="0"/>
                    <wp:lineTo x="0" y="0"/>
                  </wp:wrapPolygon>
                </wp:wrapTight>
                <wp:docPr id="1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34C2E0E">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5.85pt;margin-top:50.4pt;height:102.35pt;width:257.15pt;mso-position-horizontal-relative:margin;mso-wrap-distance-left:9pt;mso-wrap-distance-right:9pt;z-index:-251655168;mso-width-relative:page;mso-height-relative:page;" fillcolor="#FFFFFF" filled="t" stroked="f" coordsize="21600,21600" wrapcoords="0 0 0 20988 21020 20988 21020 0 0 0" o:gfxdata="UEsDBAoAAAAAAIdO4kAAAAAAAAAAAAAAAAAEAAAAZHJzL1BLAwQUAAAACACHTuJARCW9ptgAAAAL&#10;AQAADwAAAGRycy9kb3ducmV2LnhtbE2PMU/DMBCFdyT+g3VIbK0vLQkQ4nRA6gQdaCt1vcZuEhHb&#10;IXba8O97THQ8vU/vvlesJtuJsxlC652CZI4gjKu8bl2tYL9bz15AhEhOU+edUfBrAqzK+7uCcu0v&#10;7suct7EWXOJCTgqaGPtcylA1xlKY+944zk5+sBT5HGqpB7pwue3kAjGTllrHHxrqzXtjqu/taBVQ&#10;9qR/Nqfl5+5jzOi1nnCdHlCpx4cE30BEM8V/GP70WR1Kdjr60ekgOgWzJHlmlANE3sBEiosMxFHB&#10;EtMUZFnI2w3lFVBLAwQUAAAACACHTuJAcOS6lB8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0gSJyzd+JPqI/sMPVsm&#10;eTofSqp69A+YCAZ/B/JHYA62rXB7dY0IXatETUNNU33xV0MKwtjaN2gTBLFmfb6C59MVpCMlbX6c&#10;XS6WkwVnknLT2Wq1nC8yqihf2j2G+EWBZWlRcaQ7ztKL412IaQBRvpTkgcHo+lYbkwPc77YG2VGQ&#10;H27zN6KH8zLjWFfx1WK2yMgOUn+2itWR3G+0rfhykr6x3biR+UA20Y79rh/120H9TDIjDP6j10eL&#10;FvAXZx15r+Lh50Gg4sx8daTjajqfJ7PmYL74NKMAzzO784xwkqAqHjkblts4GPzgUe9bOmk6srg+&#10;RGh01igNOEw1zk3+ytKNbyEZ+D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CW9ptgA&#10;AAALAQAADwAAAAAAAAABACAAAAAiAAAAZHJzL2Rvd25yZXYueG1sUEsBAhQAFAAAAAgAh07iQHDk&#10;upQfAgAARwQAAA4AAAAAAAAAAQAgAAAAJwEAAGRycy9lMm9Eb2MueG1sUEsFBgAAAAAGAAYAWQEA&#10;ALgFAAAAAA==&#10;">
                <v:fill on="t" focussize="0,0"/>
                <v:stroke on="f" miterlimit="8" joinstyle="miter"/>
                <v:imagedata o:title=""/>
                <o:lock v:ext="edit" aspectratio="f"/>
                <v:textbox>
                  <w:txbxContent>
                    <w:p w14:paraId="034C2E0E">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 xml:space="preserve">Monthly revenue: </w:t>
      </w:r>
      <w:r>
        <w:rPr>
          <w:rFonts w:hint="default"/>
        </w:rPr>
        <w:t>Fig</w:t>
      </w:r>
      <w:r>
        <w:rPr>
          <w:rFonts w:hint="default"/>
          <w:lang w:val="en-NZ" w:eastAsia="zh-CN"/>
        </w:rPr>
        <w:t>. 2</w:t>
      </w:r>
      <w:r>
        <w:rPr>
          <w:rFonts w:hint="default"/>
        </w:rPr>
        <w:t xml:space="preserve"> </w:t>
      </w:r>
      <w:r>
        <w:rPr>
          <w:rFonts w:hint="default"/>
          <w:lang w:val="en-NZ"/>
        </w:rPr>
        <w:t>indicates</w:t>
      </w:r>
      <w:r>
        <w:rPr>
          <w:rFonts w:hint="default"/>
        </w:rPr>
        <w:t xml:space="preserve"> that sales revenue </w:t>
      </w:r>
      <w:r>
        <w:rPr>
          <w:rFonts w:hint="default"/>
          <w:lang w:val="en-NZ"/>
        </w:rPr>
        <w:t xml:space="preserve">fluctuated across </w:t>
      </w:r>
      <w:r>
        <w:rPr>
          <w:rFonts w:hint="default"/>
        </w:rPr>
        <w:t>the year, with</w:t>
      </w:r>
      <w:r>
        <w:rPr>
          <w:rFonts w:hint="default"/>
          <w:b/>
          <w:bCs/>
        </w:rPr>
        <w:t xml:space="preserve"> December generating the highest </w:t>
      </w:r>
      <w:r>
        <w:rPr>
          <w:rFonts w:hint="default"/>
          <w:b/>
          <w:bCs/>
          <w:lang w:val="en-NZ"/>
        </w:rPr>
        <w:t xml:space="preserve">sales </w:t>
      </w:r>
      <w:r>
        <w:rPr>
          <w:rFonts w:hint="default"/>
          <w:b/>
          <w:bCs/>
        </w:rPr>
        <w:t>(USD 4.61 million)</w:t>
      </w:r>
      <w:r>
        <w:rPr>
          <w:rFonts w:hint="default"/>
        </w:rPr>
        <w:t>.</w:t>
      </w:r>
    </w:p>
    <w:p w14:paraId="70F658FF">
      <w:pPr>
        <w:pStyle w:val="20"/>
      </w:pPr>
      <w:r>
        <w:rPr>
          <w:rFonts w:hint="eastAsia"/>
          <w:iCs/>
          <w:lang w:val="en-US" w:eastAsia="zh-CN"/>
        </w:rPr>
        <w:t>Monthly Sales</w:t>
      </w:r>
    </w:p>
    <w:p w14:paraId="27D5FC2F">
      <w:pPr>
        <w:pStyle w:val="18"/>
        <w:rPr>
          <w:b w:val="0"/>
          <w:bCs w:val="0"/>
        </w:rPr>
      </w:pPr>
      <w:r>
        <w:rPr>
          <w:rFonts w:hint="default"/>
          <w:lang w:val="en-NZ"/>
        </w:rPr>
        <w:t xml:space="preserve">Sales by city: </w:t>
      </w:r>
      <w:r>
        <w:rPr>
          <w:rFonts w:hint="eastAsia"/>
          <w:lang w:val="en-US" w:eastAsia="zh-CN"/>
        </w:rPr>
        <w:t xml:space="preserve">Overall, </w:t>
      </w:r>
      <w:r>
        <w:rPr>
          <w:rFonts w:hint="eastAsia"/>
          <w:b/>
          <w:bCs/>
          <w:lang w:val="en-US" w:eastAsia="zh-CN"/>
        </w:rPr>
        <w:t>San Francisco contributed the most sales revenue,</w:t>
      </w:r>
      <w:r>
        <w:rPr>
          <w:rFonts w:hint="eastAsia"/>
          <w:lang w:val="en-US" w:eastAsia="zh-CN"/>
        </w:rPr>
        <w:t xml:space="preserve"> with around </w:t>
      </w:r>
      <w:r>
        <w:rPr>
          <w:rFonts w:hint="default"/>
          <w:b w:val="0"/>
          <w:bCs w:val="0"/>
        </w:rPr>
        <w:t xml:space="preserve">USD </w:t>
      </w:r>
      <w:r>
        <w:rPr>
          <w:rFonts w:hint="eastAsia"/>
          <w:b w:val="0"/>
          <w:bCs w:val="0"/>
          <w:lang w:val="en-US" w:eastAsia="zh-CN"/>
        </w:rPr>
        <w:t>8.26</w:t>
      </w:r>
      <w:r>
        <w:rPr>
          <w:rFonts w:hint="default"/>
          <w:b w:val="0"/>
          <w:bCs w:val="0"/>
        </w:rPr>
        <w:t xml:space="preserve"> million</w:t>
      </w:r>
      <w:r>
        <w:rPr>
          <w:rFonts w:hint="eastAsia"/>
          <w:b w:val="0"/>
          <w:bCs w:val="0"/>
          <w:lang w:val="en-US" w:eastAsia="zh-CN"/>
        </w:rPr>
        <w:t xml:space="preserve"> as shown in Fig. 3.</w:t>
      </w:r>
    </w:p>
    <w:p w14:paraId="0DB09C60">
      <w:pPr>
        <w:pStyle w:val="20"/>
      </w:pPr>
      <w:r>
        <w:rPr>
          <w:rFonts w:hint="default"/>
          <w:lang w:val="en-US"/>
        </w:rPr>
        <mc:AlternateContent>
          <mc:Choice Requires="wps">
            <w:drawing>
              <wp:anchor distT="0" distB="0" distL="114300" distR="114300" simplePos="0" relativeHeight="251662336"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1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4144;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CN3flMIAIAAEcEAAAOAAAAZHJzL2Uyb0RvYy54bWytU8Fu&#10;2zAMvQ/YPwi6r06ypE2MOEWXosOAYivQ7gMUWY6FSaJGKbG7rx8lu1nWXXqYD4Yokk98T0/r694a&#10;dlQYNLiKTy8mnCknodZuX/HvT3cflpyFKFwtDDhV8WcV+PXm/bt150s1gxZMrZARiAtl5yvexujL&#10;ogiyVVaEC/DKUbIBtCJSiPuiRtERujXFbDK5LDrA2iNIFQLt3g5JPiLiWwChabRUtyAPVrk4oKIy&#10;IhKl0Gof+CZP2zRKxm9NE1RkpuLENOY/HULrXfoXm7Uo9yh8q+U4gnjLCK84WaEdHXqCuhVRsAPq&#10;f6CslggBmnghwRYDkawIsZhOXmnz2AqvMheSOviT6OH/wcqvxwdkuiYnXHHmhKUbf1J9ZJ+gZ8sk&#10;T+dDSVWP/gETweDvQf4IzMG2FW6vbhCha5Woaahpqi/+akhBGFv7Bm2CINasz1fwfLqCdKSkzY+z&#10;y8VysuBMUm46W62W80VGFeVLu8cQPyuwLC0qjnTHWXpxvA8xDSDKl5I8MBhd32ljcoD73dYgOwry&#10;w13+RvRwXmYc6yq+WswWGdlB6s9WsTqS+422FV9O0je2GzcyH8gm2rHf9aN+O6ifSWaEwX/0+mjR&#10;Av7irCPvVTz8PAhUnJkvjnRcTefzZNYczBdXMwrwPLM7zwgnCarikbNhuY2DwQ8e9b6lk6Yji5tD&#10;hEZnjdKAw1Tj3OSvLN34FpKBz+Nc9ef9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4PptENcA&#10;AAALAQAADwAAAAAAAAABACAAAAAiAAAAZHJzL2Rvd25yZXYueG1sUEsBAhQAFAAAAAgAh07iQI3d&#10;+UwgAgAARwQAAA4AAAAAAAAAAQAgAAAAJgEAAGRycy9lMm9Eb2MueG1sUEsFBgAAAAAGAAYAWQEA&#10;ALgFAAAAAA==&#10;">
                <v:fill on="t" focussize="0,0"/>
                <v:stroke on="f" miterlimit="8" joinstyle="miter"/>
                <v:imagedata o:title=""/>
                <o:lock v:ext="edit" aspectratio="f"/>
                <v:textbo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Sales</w:t>
      </w:r>
      <w:r>
        <w:rPr>
          <w:rFonts w:hint="default"/>
          <w:iCs/>
          <w:lang w:val="en-NZ" w:eastAsia="zh-CN"/>
        </w:rPr>
        <w:t xml:space="preserve"> by City</w:t>
      </w:r>
    </w:p>
    <w:p w14:paraId="7F0DF751">
      <w:pPr>
        <w:pStyle w:val="18"/>
      </w:pPr>
      <w:r>
        <w:rPr>
          <w:rFonts w:hint="eastAsia"/>
          <w:lang w:val="en-US" w:eastAsia="zh-CN"/>
        </w:rPr>
        <w:t>Order</w:t>
      </w:r>
      <w:r>
        <w:rPr>
          <w:rFonts w:hint="default"/>
          <w:lang w:val="en-NZ" w:eastAsia="zh-CN"/>
        </w:rPr>
        <w:t xml:space="preserve"> activity:</w:t>
      </w:r>
      <w:r>
        <w:rPr>
          <w:rFonts w:hint="eastAsia"/>
          <w:lang w:val="en-US" w:eastAsia="zh-CN"/>
        </w:rPr>
        <w:t xml:space="preserve"> </w:t>
      </w:r>
      <w:r>
        <w:rPr>
          <w:rFonts w:hint="default"/>
          <w:lang w:val="en-NZ" w:eastAsia="zh-CN"/>
        </w:rPr>
        <w:t xml:space="preserve">As presented by Fig. 4, order activity gradually increased throughout the morning time. </w:t>
      </w:r>
      <w:r>
        <w:rPr>
          <w:rFonts w:hint="eastAsia"/>
          <w:b/>
          <w:bCs/>
          <w:lang w:val="en-US" w:eastAsia="zh-CN"/>
        </w:rPr>
        <w:t>The most purchase happened at 19:00</w:t>
      </w:r>
      <w:r>
        <w:rPr>
          <w:rFonts w:hint="default"/>
          <w:b/>
          <w:bCs/>
          <w:lang w:val="en-NZ" w:eastAsia="zh-CN"/>
        </w:rPr>
        <w:t>, reaching 12,377 orders</w:t>
      </w:r>
      <w:r>
        <w:rPr>
          <w:b/>
          <w:bCs/>
        </w:rPr>
        <w:t>.</w:t>
      </w:r>
    </w:p>
    <w:p w14:paraId="4999EC0C">
      <w:pPr>
        <w:pStyle w:val="20"/>
      </w:pPr>
      <w:r>
        <w:rPr>
          <w:rFonts w:hint="default"/>
          <w:lang w:val="en-US"/>
        </w:rPr>
        <mc:AlternateContent>
          <mc:Choice Requires="wps">
            <w:drawing>
              <wp:anchor distT="0" distB="0" distL="114300" distR="114300" simplePos="0" relativeHeight="251663360"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2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3120;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BTlNWmHwIAAEcEAAAOAAAAZHJzL2Uyb0RvYy54bWytU8Fu&#10;2zAMvQ/YPwi6r06ypEuMOEWXosOAYi3Q7gMUWY6FSaJGKbG7rx8lu1nWXXqYDoIokk98j9T6qreG&#10;HRUGDa7i04sJZ8pJqLXbV/z70+2HJWchClcLA05V/FkFfrV5/27d+VLNoAVTK2QE4kLZ+Yq3Mfqy&#10;KIJslRXhArxy5GwArYhk4r6oUXSEbk0xm0wuiw6w9ghShUC3N4OTj4j4FkBoGi3VDciDVS4OqKiM&#10;iEQptNoHvsnVNo2S8b5pgorMVJyYxrzTI3Tepb3YrEW5R+FbLccSxFtKeMXJCu3o0RPUjYiCHVD/&#10;A2W1RAjQxAsJthiIZEWIxXTySpvHVniVuZDUwZ9ED/8PVn47PiDTdcVnJIkTljr+pPrIPkPPlkme&#10;zoeSoh79AyaCwd+B/BGYg20r3F5dI0LXKlFTUdMUX/yVkIwwpvYN2gRBrFmfW/B8akF6UtLlx9nl&#10;YjlZcCbJN52tVsv5IqOK8iXdY4hfFFiWDhVH6nGWXhzvQkwFiPIlJBcMRte32phs4H63NciOgubh&#10;Nq8RPZyHGce6iq8Ws0VGdpDy86hYHWn6jbYVX07SGtONG5kPZBPt2O/6Ub8d1M8kM8Iwf/T76NAC&#10;/uKso9mrePh5EKg4M18d6biazudpWLMxX3xKrcFzz+7cI5wkqIpHzobjNg4DfvCo9y29NB1ZXB8i&#10;NDprlAocqhrrpvnK0o1/IQ3wuZ2j/vz/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g+m0Q1wAA&#10;AAsBAAAPAAAAAAAAAAEAIAAAACIAAABkcnMvZG93bnJldi54bWxQSwECFAAUAAAACACHTuJAU5TV&#10;ph8CAABHBAAADgAAAAAAAAABACAAAAAmAQAAZHJzL2Uyb0RvYy54bWxQSwUGAAAAAAYABgBZAQAA&#10;twUAAAAA&#10;">
                <v:fill on="t" focussize="0,0"/>
                <v:stroke on="f" miterlimit="8" joinstyle="miter"/>
                <v:imagedata o:title=""/>
                <o:lock v:ext="edit" aspectratio="f"/>
                <v:textbo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p>
    <w:p w14:paraId="0612F789">
      <w:pPr>
        <w:pStyle w:val="18"/>
      </w:pPr>
      <w:r>
        <w:t>Use a zero before decimal points: “0.25”, not “.25”. Use “cm3”, not “cc”. (</w:t>
      </w:r>
      <w:r>
        <w:rPr>
          <w:i/>
          <w:iCs/>
        </w:rPr>
        <w:t>bullet list</w:t>
      </w:r>
      <w:r>
        <w:t>)</w:t>
      </w:r>
    </w:p>
    <w:p w14:paraId="20AEFC9E">
      <w:pPr>
        <w:pStyle w:val="3"/>
      </w:pPr>
      <w:r>
        <w:t>Product Performance</w:t>
      </w:r>
    </w:p>
    <w:p w14:paraId="741DF590">
      <w:pPr>
        <w:pStyle w:val="7"/>
      </w:pPr>
      <w:r>
        <w:t>The equations are an exception to the prescribed specifications of this template. You will need to determine whether or not your</w:t>
      </w:r>
      <w:bookmarkStart w:id="0" w:name="_GoBack"/>
      <w:bookmarkEnd w:id="0"/>
      <w:r>
        <w:t xml:space="preserve"> equation should be typed using either the Times New Roman or the Symbol font (please no other font). To create multileveled equations, it may be necessary to treat the equation as a graphic and insert it into the text after your paper is styled.</w:t>
      </w:r>
    </w:p>
    <w:p w14:paraId="3C62900C">
      <w:pPr>
        <w:pStyle w:val="7"/>
        <w:rPr>
          <w:lang w:val="en-US"/>
        </w:rPr>
      </w:pPr>
      <w: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14:paraId="2C3CE438">
      <w:pPr>
        <w:pStyle w:val="19"/>
        <w:rPr>
          <w:rFonts w:hint="eastAsia"/>
        </w:rPr>
      </w:pPr>
      <w:r>
        <w:tab/>
      </w:r>
      <w:r>
        <w:rPr>
          <w:rFonts w:ascii="Times New Roman" w:hAnsi="Times New Roman" w:cs="Times New Roman"/>
          <w:i/>
        </w:rPr>
        <w:t>a</w:t>
      </w:r>
      <w:r>
        <w:t></w:t>
      </w:r>
      <w:r>
        <w:rPr>
          <w:rFonts w:ascii="Times New Roman" w:hAnsi="Times New Roman" w:cs="Times New Roman"/>
          <w:i/>
        </w:rPr>
        <w:t>b</w:t>
      </w:r>
      <w:r>
        <w:t></w:t>
      </w:r>
      <w:r>
        <w:tab/>
      </w:r>
      <w:r>
        <w:t></w:t>
      </w:r>
    </w:p>
    <w:p w14:paraId="370BF33D">
      <w:pPr>
        <w:pStyle w:val="7"/>
      </w:pPr>
      <w:r>
        <w:t>Note that the equation is centered using a center tab stop. Be sure that the symbols in your equation have been defined before or immediately following the equation. Use “(1)”, not “Eq. (1)” or “equation (1)”, except at the beginning of a sentence: “Equation (1) is . . .”</w:t>
      </w:r>
    </w:p>
    <w:p w14:paraId="607F3C28">
      <w:pPr>
        <w:pStyle w:val="3"/>
      </w:pPr>
      <w:r>
        <w:t>Some Common Mistakes</w:t>
      </w:r>
    </w:p>
    <w:p w14:paraId="0C33B1F0">
      <w:pPr>
        <w:pStyle w:val="18"/>
      </w:pPr>
      <w:r>
        <w:t>The word “data” is plural, not singular.</w:t>
      </w:r>
    </w:p>
    <w:p w14:paraId="363DEAC7">
      <w:pPr>
        <w:pStyle w:val="18"/>
      </w:pPr>
      <w:r>
        <w:t xml:space="preserve">The subscript for the permeability of vacuum </w:t>
      </w:r>
      <w:r>
        <w:rPr>
          <w:rFonts w:ascii="Symbol" w:hAnsi="Symbol" w:cs="Symbol"/>
          <w:i/>
          <w:iCs/>
          <w:snapToGrid w:val="0"/>
        </w:rPr>
        <w:t></w:t>
      </w:r>
      <w:r>
        <w:rPr>
          <w:vertAlign w:val="subscript"/>
        </w:rPr>
        <w:t>0</w:t>
      </w:r>
      <w:r>
        <w:t>, and other common scientific constants, is zero with subscript formatting, not a lowercase letter “o”.</w:t>
      </w:r>
    </w:p>
    <w:p w14:paraId="00649CAE">
      <w:pPr>
        <w:pStyle w:val="18"/>
      </w:pPr>
      <w: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EDB5E28">
      <w:pPr>
        <w:pStyle w:val="18"/>
      </w:pPr>
      <w:r>
        <w:t>A graph within a graph is an “inset”, not an “insert”. The word alternatively is preferred to the word “alternately” (unless you really mean something that alternates).</w:t>
      </w:r>
    </w:p>
    <w:p w14:paraId="30B7FF0C">
      <w:pPr>
        <w:pStyle w:val="18"/>
      </w:pPr>
      <w:r>
        <w:t>Do not use the word “essentially” to mean “approximately” or “effectively”.</w:t>
      </w:r>
    </w:p>
    <w:p w14:paraId="1DC04169">
      <w:pPr>
        <w:pStyle w:val="18"/>
      </w:pPr>
      <w:r>
        <w:t>In your paper title, if the words “that uses” can accurately replace the word “using”, capitalize the “u”; if not, keep using lower-cased.</w:t>
      </w:r>
    </w:p>
    <w:p w14:paraId="739A08A5">
      <w:pPr>
        <w:pStyle w:val="18"/>
      </w:pPr>
      <w:r>
        <w:t>Be aware of the different meanings of the homophones “affect” and “effect”, “complement” and “compliment”, “discreet” and “discrete”, “principal” and “principle”.</w:t>
      </w:r>
    </w:p>
    <w:p w14:paraId="774AA849">
      <w:pPr>
        <w:pStyle w:val="18"/>
      </w:pPr>
      <w:r>
        <w:t>Do not confuse “imply” and “infer”.</w:t>
      </w:r>
    </w:p>
    <w:p w14:paraId="0626EC96">
      <w:pPr>
        <w:pStyle w:val="18"/>
      </w:pPr>
      <w:r>
        <w:t>The prefix “non” is not a word; it should be joined to the word it modifies, usually without a hyphen.</w:t>
      </w:r>
    </w:p>
    <w:p w14:paraId="1E4EF7E8">
      <w:pPr>
        <w:pStyle w:val="18"/>
      </w:pPr>
      <w:r>
        <w:t>There is no period after the “et” in the Latin abbreviation “et al.”.</w:t>
      </w:r>
    </w:p>
    <w:p w14:paraId="568948B6">
      <w:pPr>
        <w:pStyle w:val="18"/>
      </w:pPr>
      <w:r>
        <w:t>The abbreviation “i.e.” means “that is”, and the abbreviation “e.g.” means “for example”.</w:t>
      </w:r>
    </w:p>
    <w:p w14:paraId="6BB74841">
      <w:pPr>
        <w:pStyle w:val="7"/>
      </w:pPr>
      <w:r>
        <w:t>An excellent style manual for science writers is [7].</w:t>
      </w:r>
    </w:p>
    <w:p w14:paraId="715BD328">
      <w:pPr>
        <w:pStyle w:val="2"/>
      </w:pPr>
      <w:r>
        <w:t>Using the Template</w:t>
      </w:r>
    </w:p>
    <w:p w14:paraId="6AC094F3">
      <w:pPr>
        <w:pStyle w:val="7"/>
      </w:pPr>
      <w: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91F0C02">
      <w:pPr>
        <w:pStyle w:val="3"/>
      </w:pPr>
      <w:r>
        <w:t>Authors and Affiliations</w:t>
      </w:r>
    </w:p>
    <w:p w14:paraId="371CB1D9">
      <w:pPr>
        <w:pStyle w:val="7"/>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t>Please keep your affiliations as succinct as possible (for example, do not differentiate among departments of the same organization).</w:t>
      </w:r>
    </w:p>
    <w:p w14:paraId="62DF94E4">
      <w:pPr>
        <w:pStyle w:val="4"/>
      </w:pPr>
      <w:r>
        <w:t xml:space="preserve">For papers with more than six authors: </w:t>
      </w:r>
      <w:r>
        <w:rPr>
          <w:i w:val="0"/>
        </w:rPr>
        <w:t>Add author names horizontally, moving to a third row if needed for more than 8 authors.</w:t>
      </w:r>
    </w:p>
    <w:p w14:paraId="365FDE79">
      <w:pPr>
        <w:pStyle w:val="4"/>
      </w:pPr>
      <w:r>
        <w:t xml:space="preserve">For papers with less than six authors: </w:t>
      </w:r>
      <w:r>
        <w:rPr>
          <w:i w:val="0"/>
        </w:rPr>
        <w:t>To change the default, adjust the template as follows.</w:t>
      </w:r>
    </w:p>
    <w:p w14:paraId="16E69429">
      <w:pPr>
        <w:pStyle w:val="5"/>
      </w:pPr>
      <w:r>
        <w:t xml:space="preserve">Selection: </w:t>
      </w:r>
      <w:r>
        <w:rPr>
          <w:i w:val="0"/>
        </w:rPr>
        <w:t>Highlight all author and affiliation lines.</w:t>
      </w:r>
    </w:p>
    <w:p w14:paraId="26CEB852">
      <w:pPr>
        <w:pStyle w:val="5"/>
      </w:pPr>
      <w:r>
        <w:t xml:space="preserve">Change number of columns: </w:t>
      </w:r>
      <w:r>
        <w:rPr>
          <w:i w:val="0"/>
        </w:rPr>
        <w:t>Select the Columns icon from the MS Word Standard toolbar and then select the correct number of columns from the selection palette.</w:t>
      </w:r>
    </w:p>
    <w:p w14:paraId="6381E9F1">
      <w:pPr>
        <w:pStyle w:val="5"/>
        <w:rPr>
          <w:i w:val="0"/>
        </w:rPr>
      </w:pPr>
      <w:r>
        <w:t xml:space="preserve">Deletion: </w:t>
      </w:r>
      <w:r>
        <w:rPr>
          <w:i w:val="0"/>
        </w:rPr>
        <w:t>Delete the author and affiliation lines for the extra authors.</w:t>
      </w:r>
    </w:p>
    <w:p w14:paraId="09F8BFAF">
      <w:pPr>
        <w:jc w:val="left"/>
        <w:rPr>
          <w:i/>
          <w:iCs/>
        </w:rPr>
      </w:pPr>
    </w:p>
    <w:p w14:paraId="26DE5D17">
      <w:pPr>
        <w:pStyle w:val="3"/>
      </w:pPr>
      <w:r>
        <w:t>Identify the Headings</w:t>
      </w:r>
    </w:p>
    <w:p w14:paraId="3BA5FDE4">
      <w:pPr>
        <w:pStyle w:val="7"/>
      </w:pPr>
      <w:r>
        <w:t>Headings, or heads, are organizational devices that guide the reader through your paper. There are two types: component heads and text heads.</w:t>
      </w:r>
    </w:p>
    <w:p w14:paraId="6A09F90E">
      <w:pPr>
        <w:pStyle w:val="7"/>
      </w:pPr>
      <w: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A47723">
      <w:pPr>
        <w:pStyle w:val="7"/>
      </w:pPr>
      <w: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F7B4685">
      <w:pPr>
        <w:pStyle w:val="3"/>
      </w:pPr>
      <w:r>
        <w:t>Figures and Tables</w:t>
      </w:r>
    </w:p>
    <w:p w14:paraId="074D16C4">
      <w:pPr>
        <w:pStyle w:val="5"/>
      </w:pPr>
      <w:r>
        <w:t xml:space="preserve"> Positioning Figures and Tables: </w:t>
      </w:r>
      <w:r>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36F0464">
      <w:pPr>
        <w:pStyle w:val="30"/>
      </w:pPr>
      <w:r>
        <w:t>Table Type Styles</w:t>
      </w:r>
    </w:p>
    <w:tbl>
      <w:tblPr>
        <w:tblStyle w:val="11"/>
        <w:tblW w:w="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gridCol w:w="900"/>
      </w:tblGrid>
      <w:tr w14:paraId="66E71D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restart"/>
            <w:vAlign w:val="center"/>
          </w:tcPr>
          <w:p w14:paraId="45084A18">
            <w:pPr>
              <w:pStyle w:val="26"/>
            </w:pPr>
            <w:r>
              <w:t>Table Head</w:t>
            </w:r>
          </w:p>
        </w:tc>
        <w:tc>
          <w:tcPr>
            <w:tcW w:w="4140" w:type="dxa"/>
            <w:gridSpan w:val="3"/>
            <w:vAlign w:val="center"/>
          </w:tcPr>
          <w:p w14:paraId="6A0F456C">
            <w:pPr>
              <w:pStyle w:val="26"/>
            </w:pPr>
            <w:r>
              <w:t>Table Column Head</w:t>
            </w:r>
          </w:p>
        </w:tc>
      </w:tr>
      <w:tr w14:paraId="3FF1DB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continue"/>
          </w:tcPr>
          <w:p w14:paraId="4B6CF63D">
            <w:pPr>
              <w:rPr>
                <w:sz w:val="16"/>
                <w:szCs w:val="16"/>
              </w:rPr>
            </w:pPr>
          </w:p>
        </w:tc>
        <w:tc>
          <w:tcPr>
            <w:tcW w:w="2340" w:type="dxa"/>
            <w:vAlign w:val="center"/>
          </w:tcPr>
          <w:p w14:paraId="2E2F5170">
            <w:pPr>
              <w:pStyle w:val="27"/>
              <w:rPr>
                <w:rFonts w:hint="default" w:eastAsia="SimSun"/>
                <w:lang w:val="en-US" w:eastAsia="zh-CN"/>
              </w:rPr>
            </w:pPr>
            <w:r>
              <w:rPr>
                <w:rFonts w:hint="eastAsia"/>
                <w:lang w:val="en-US" w:eastAsia="zh-CN"/>
              </w:rPr>
              <w:t>Variables</w:t>
            </w:r>
          </w:p>
        </w:tc>
        <w:tc>
          <w:tcPr>
            <w:tcW w:w="900" w:type="dxa"/>
            <w:vAlign w:val="center"/>
          </w:tcPr>
          <w:p w14:paraId="6853EFE8">
            <w:pPr>
              <w:pStyle w:val="27"/>
              <w:rPr>
                <w:rFonts w:hint="default" w:eastAsia="SimSun"/>
                <w:lang w:val="en-US" w:eastAsia="zh-CN"/>
              </w:rPr>
            </w:pPr>
            <w:r>
              <w:rPr>
                <w:rFonts w:hint="eastAsia"/>
                <w:lang w:val="en-US" w:eastAsia="zh-CN"/>
              </w:rPr>
              <w:t>Null Value</w:t>
            </w:r>
          </w:p>
        </w:tc>
        <w:tc>
          <w:tcPr>
            <w:tcW w:w="900" w:type="dxa"/>
            <w:vAlign w:val="center"/>
          </w:tcPr>
          <w:p w14:paraId="7727764A">
            <w:pPr>
              <w:pStyle w:val="27"/>
              <w:rPr>
                <w:rFonts w:hint="default" w:eastAsia="SimSun"/>
                <w:lang w:val="en-US" w:eastAsia="zh-CN"/>
              </w:rPr>
            </w:pPr>
            <w:r>
              <w:rPr>
                <w:rFonts w:hint="eastAsia"/>
                <w:lang w:val="en-US" w:eastAsia="zh-CN"/>
              </w:rPr>
              <w:t>Datatype</w:t>
            </w:r>
          </w:p>
        </w:tc>
      </w:tr>
      <w:tr w14:paraId="06E9E64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3C6BCBBF">
            <w:pPr>
              <w:pStyle w:val="28"/>
              <w:rPr>
                <w:sz w:val="8"/>
                <w:szCs w:val="8"/>
              </w:rPr>
            </w:pPr>
            <w:r>
              <w:t>copy</w:t>
            </w:r>
          </w:p>
        </w:tc>
        <w:tc>
          <w:tcPr>
            <w:tcW w:w="2340" w:type="dxa"/>
            <w:vAlign w:val="center"/>
          </w:tcPr>
          <w:p w14:paraId="0E742712">
            <w:pPr>
              <w:pStyle w:val="28"/>
            </w:pPr>
            <w:r>
              <w:t>More table copy</w:t>
            </w:r>
            <w:r>
              <w:rPr>
                <w:vertAlign w:val="superscript"/>
              </w:rPr>
              <w:t>a</w:t>
            </w:r>
          </w:p>
        </w:tc>
        <w:tc>
          <w:tcPr>
            <w:tcW w:w="900" w:type="dxa"/>
            <w:vAlign w:val="center"/>
          </w:tcPr>
          <w:p w14:paraId="190B985C">
            <w:pPr>
              <w:rPr>
                <w:sz w:val="16"/>
                <w:szCs w:val="16"/>
              </w:rPr>
            </w:pPr>
          </w:p>
        </w:tc>
        <w:tc>
          <w:tcPr>
            <w:tcW w:w="900" w:type="dxa"/>
            <w:vAlign w:val="center"/>
          </w:tcPr>
          <w:p w14:paraId="6CE0CB73">
            <w:pPr>
              <w:rPr>
                <w:sz w:val="16"/>
                <w:szCs w:val="16"/>
              </w:rPr>
            </w:pPr>
          </w:p>
        </w:tc>
      </w:tr>
    </w:tbl>
    <w:p w14:paraId="5634E4A0">
      <w:pPr>
        <w:pStyle w:val="29"/>
      </w:pPr>
      <w:r>
        <w:t>Sample of a Table footnote. (</w:t>
      </w:r>
      <w:r>
        <w:rPr>
          <w:i/>
        </w:rPr>
        <w:t>Table footnote</w:t>
      </w:r>
      <w:r>
        <w:t>)</w:t>
      </w:r>
    </w:p>
    <w:p w14:paraId="4633A0FF">
      <w:pPr>
        <w:pStyle w:val="20"/>
      </w:pPr>
      <w:r>
        <w:t xml:space="preserve">Example of a figure caption. </w:t>
      </w:r>
      <w:r>
        <w:rPr>
          <w:iCs/>
        </w:rPr>
        <w:t>(</w:t>
      </w:r>
      <w:r>
        <w:rPr>
          <w:i/>
          <w:iCs/>
        </w:rPr>
        <w:t>figure caption</w:t>
      </w:r>
      <w:r>
        <w:rPr>
          <w:iCs/>
        </w:rPr>
        <w:t>)</w:t>
      </w:r>
    </w:p>
    <w:p w14:paraId="45B42C6E">
      <w:pPr>
        <w:pStyle w:val="7"/>
      </w:pPr>
      <w: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73069308">
      <w:pPr>
        <w:pStyle w:val="6"/>
      </w:pPr>
      <w:r>
        <w:t>References</w:t>
      </w:r>
    </w:p>
    <w:p w14:paraId="5E438A5F">
      <w:pPr>
        <w:pStyle w:val="7"/>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60205113">
      <w:pPr>
        <w:pStyle w:val="7"/>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52D33BB0">
      <w:pPr>
        <w:pStyle w:val="7"/>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CA5BD76">
      <w:pPr>
        <w:pStyle w:val="7"/>
      </w:pPr>
      <w:r>
        <w:t>For papers published in translation journals, please give the English citation first, followed by the original foreign-language citation [6].</w:t>
      </w:r>
    </w:p>
    <w:p w14:paraId="4D620845"/>
    <w:p w14:paraId="44E425F1">
      <w:pPr>
        <w:pStyle w:val="24"/>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7F907772">
      <w:pPr>
        <w:pStyle w:val="24"/>
        <w:ind w:left="354" w:hanging="354"/>
      </w:pPr>
      <w:r>
        <w:t>J. Clerk Maxwell, A Treatise on Electricity and Magnetism, 3rd ed., vol. 2. Oxford: Clarendon, 1892, pp.68–73.</w:t>
      </w:r>
    </w:p>
    <w:p w14:paraId="64435C01">
      <w:pPr>
        <w:pStyle w:val="24"/>
        <w:ind w:left="354" w:hanging="354"/>
      </w:pPr>
      <w:r>
        <w:t>I. S. Jacobs and C. P. Bean, “Fine particles, thin films and exchange anisotropy,” in Magnetism, vol. III, G. T. Rado and H. Suhl, Eds. New York: Academic, 1963, pp. 271–350.</w:t>
      </w:r>
    </w:p>
    <w:p w14:paraId="072D7B7E">
      <w:pPr>
        <w:pStyle w:val="24"/>
        <w:ind w:left="354" w:hanging="354"/>
      </w:pPr>
      <w:r>
        <w:t>K. Elissa, “Title of paper if known,” unpublished.</w:t>
      </w:r>
    </w:p>
    <w:p w14:paraId="76E73E2D">
      <w:pPr>
        <w:pStyle w:val="24"/>
        <w:ind w:left="354" w:hanging="354"/>
      </w:pPr>
      <w:r>
        <w:t>R. Nicole, “Title of paper with only first word capitalized,” J. Name Stand. Abbrev., in press.</w:t>
      </w:r>
    </w:p>
    <w:p w14:paraId="20494766">
      <w:pPr>
        <w:pStyle w:val="24"/>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644E20E">
      <w:pPr>
        <w:pStyle w:val="24"/>
        <w:ind w:left="354" w:hanging="354"/>
      </w:pPr>
      <w:r>
        <w:t>M. Young, The Technical Writer’s Handbook. Mill Valley, CA: University Science, 1989.</w:t>
      </w:r>
    </w:p>
    <w:p w14:paraId="0BA1104D">
      <w:pPr>
        <w:pStyle w:val="24"/>
        <w:numPr>
          <w:ilvl w:val="0"/>
          <w:numId w:val="0"/>
        </w:numPr>
        <w:ind w:left="360" w:hanging="360"/>
      </w:pPr>
    </w:p>
    <w:p w14:paraId="3CFB0BF3">
      <w:pPr>
        <w:pStyle w:val="24"/>
        <w:numPr>
          <w:ilvl w:val="0"/>
          <w:numId w:val="0"/>
        </w:numPr>
        <w:spacing w:line="240" w:lineRule="auto"/>
        <w:ind w:left="360" w:hanging="360"/>
        <w:jc w:val="center"/>
        <w:rPr>
          <w:rFonts w:eastAsia="SimSun"/>
          <w:b/>
          <w:color w:val="FF0000"/>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eastAsia="SimSun"/>
          <w:b/>
          <w:color w:val="FF0000"/>
          <w:spacing w:val="-1"/>
          <w:sz w:val="20"/>
          <w:szCs w:val="20"/>
          <w:lang w:val="zh-CN" w:eastAsia="zh-CN"/>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zh-CN"/>
        </w:rPr>
        <w:t>may</w:t>
      </w:r>
      <w:r>
        <w:rPr>
          <w:rFonts w:eastAsia="SimSun"/>
          <w:b/>
          <w:color w:val="FF0000"/>
          <w:spacing w:val="-1"/>
          <w:sz w:val="20"/>
          <w:szCs w:val="20"/>
          <w:lang w:val="zh-CN" w:eastAsia="zh-CN"/>
        </w:rPr>
        <w:t xml:space="preserve"> result in your paper not being published.</w:t>
      </w:r>
    </w:p>
    <w:p w14:paraId="1141F948">
      <w:r>
        <w:br w:type="page"/>
      </w:r>
    </w:p>
    <w:p w14:paraId="0606490A">
      <w:r>
        <w:rPr>
          <w:rFonts w:ascii="SimSun" w:hAnsi="SimSun" w:eastAsia="SimSun" w:cs="SimSun"/>
          <w:sz w:val="24"/>
          <w:szCs w:val="24"/>
        </w:rPr>
        <w:t>I. Introduction II. Dataset Understanding and Preprocessing III. Exploratory Data Analysis and Statistical Analysis IV. Association Rule / Market Basket Analysis V. Machine Learning Modelling A. Data Preparation B. Model Performance Comparison C. Feature Importance Analysis VI. Discussion VII. Conclusion</w:t>
      </w:r>
      <w: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wp:start x="-64" y="0"/>
                    <wp:lineTo x="-64" y="21600"/>
                    <wp:lineTo x="21664" y="21600"/>
                    <wp:lineTo x="21664" y="0"/>
                    <wp:lineTo x="-64" y="0"/>
                  </wp:wrapPolygon>
                </wp:wrapTight>
                <wp:docPr id="1"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top:19.8pt;height:90pt;width:252pt;mso-position-horizontal:left;mso-position-horizontal-relative:margin;mso-wrap-distance-left:9pt;mso-wrap-distance-right:9pt;z-index:-251657216;mso-width-relative:page;mso-height-relative:page;" fillcolor="#FFFFFF" filled="t" stroked="t" coordsize="21600,21600" wrapcoords="-64 0 -64 21600 21664 21600 21664 0 -64 0" o:gfxdata="UEsDBAoAAAAAAIdO4kAAAAAAAAAAAAAAAAAEAAAAZHJzL1BLAwQUAAAACACHTuJA/L6ZH9UAAAAH&#10;AQAADwAAAGRycy9kb3ducmV2LnhtbE2PwU7DMBBE70j8g7VI3KidFKo2ZNMDqEgc2/TSmxMvSSC2&#10;o9hpA1/PcqLHmVnNvM23s+3FmcbQeYeQLBQIcrU3nWsQjuXuYQ0iRO2M7r0jhG8KsC1ub3KdGX9x&#10;ezofYiO4xIVMI7QxDpmUoW7J6rDwAznOPvxodWQ5NtKM+sLltpepUitpded4odUDvbRUfx0mi1B1&#10;6VH/7Ms3ZTe7ZXyfy8/p9Ip4f5eoZxCR5vh/DH/4jA4FM1V+ciaIHoEfiQjLzQoEp0/qkY0KIU3Y&#10;kUUur/mLX1BLAwQUAAAACACHTuJAvg8WHiICAABvBAAADgAAAGRycy9lMm9Eb2MueG1srVTBbtsw&#10;DL0P2D8Iui+O02RLgzpF1yLDgGIt0O4DFFmOhUmiRimxs68fJbtt2l16mA+GaFJP7z1SvrjsrWEH&#10;hUGDq3g5mXKmnIRau13Ffz5uPi05C1G4WhhwquJHFfjl+uOHi86v1AxaMLVCRiAurDpf8TZGvyqK&#10;IFtlRZiAV46SDaAVkULcFTWKjtCtKWbT6eeiA6w9glQh0NebIclHRHwPIDSNluoG5N4qFwdUVEZE&#10;khRa7QNfZ7ZNo2S8a5qgIjMVJ6Uxv+kQWm/Tu1hfiNUOhW+1HCmI91B4o8kK7ejQZ6gbEQXbo/4H&#10;ymqJEKCJEwm2GIRkR0hFOX3jzUMrvMpayOrgn00P/w9W/jjcI9M1TQJnTlhq+KPqI/sKPVsmdzof&#10;VlT04O8x6Qv+FuSvwBxct8Lt1BUidK0SNXEqU33xakMKwri1b9AmCBLN+tyB43MH0pGSPp7RhMyn&#10;1BxJubKcn00pSKhi9bTdY4jfFFiWFhVHanF2XhxuQxxKn0oyYTC63mhjcoC77bVBdhA0Dpv8jOjh&#10;tMw41lX8fDFbZORXuXAKQexeCL4qszrSLTHaVnx5WmTcaNHgSvIn9tt+NHoL9ZHagTDMKd1SWrSA&#10;fzjraEYrHn7vBSrOzHdHhp+X83ka6hzMF19mFOBpZnuaEU4SVMUjZ8PyOg4XYe9R71o6qcxyHVzt&#10;IzQ6m5kIDqxG3jSHuR3jnUmDfhrnqpf/xP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6ZH9UA&#10;AAAHAQAADwAAAAAAAAABACAAAAAiAAAAZHJzL2Rvd25yZXYueG1sUEsBAhQAFAAAAAgAh07iQL4P&#10;Fh4iAgAAbwQAAA4AAAAAAAAAAQAgAAAAJAEAAGRycy9lMm9Eb2MueG1sUEsFBgAAAAAGAAYAWQEA&#10;ALgFAAAAAA==&#10;">
                <v:fill on="t" focussize="0,0"/>
                <v:stroke color="#000000" miterlimit="8" joinstyle="miter"/>
                <v:imagedata o:title=""/>
                <o:lock v:ext="edit" aspectratio="f"/>
                <v:textbo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v:textbox>
                <w10:wrap type="tight"/>
              </v:rect>
            </w:pict>
          </mc:Fallback>
        </mc:AlternateConten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989F">
    <w:pPr>
      <w:pStyle w:val="8"/>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3140CE1"/>
    <w:rsid w:val="03A8504C"/>
    <w:rsid w:val="042173BA"/>
    <w:rsid w:val="062118B6"/>
    <w:rsid w:val="069B7C33"/>
    <w:rsid w:val="09CB082F"/>
    <w:rsid w:val="0B40039B"/>
    <w:rsid w:val="0B995AF5"/>
    <w:rsid w:val="0BDE7CFF"/>
    <w:rsid w:val="16705C3E"/>
    <w:rsid w:val="1DA52452"/>
    <w:rsid w:val="1FFE1506"/>
    <w:rsid w:val="217D42C3"/>
    <w:rsid w:val="25241199"/>
    <w:rsid w:val="25CD79B1"/>
    <w:rsid w:val="29E057D9"/>
    <w:rsid w:val="2D452363"/>
    <w:rsid w:val="2E752653"/>
    <w:rsid w:val="2F0111F0"/>
    <w:rsid w:val="36C44760"/>
    <w:rsid w:val="3B651CBC"/>
    <w:rsid w:val="3D22168D"/>
    <w:rsid w:val="496C15CC"/>
    <w:rsid w:val="53863C7C"/>
    <w:rsid w:val="5841015B"/>
    <w:rsid w:val="5B266B32"/>
    <w:rsid w:val="5DBB5AB8"/>
    <w:rsid w:val="5F07118B"/>
    <w:rsid w:val="5F185073"/>
    <w:rsid w:val="62FC79CB"/>
    <w:rsid w:val="65C14EA6"/>
    <w:rsid w:val="66506635"/>
    <w:rsid w:val="6A89432B"/>
    <w:rsid w:val="711C4024"/>
    <w:rsid w:val="752A137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uiPriority w:val="0"/>
    <w:pPr>
      <w:tabs>
        <w:tab w:val="center" w:pos="4680"/>
        <w:tab w:val="right" w:pos="9360"/>
      </w:tabs>
    </w:pPr>
  </w:style>
  <w:style w:type="paragraph" w:styleId="9">
    <w:name w:val="header"/>
    <w:basedOn w:val="1"/>
    <w:link w:val="32"/>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5</Pages>
  <Words>2429</Words>
  <Characters>12907</Characters>
  <Lines>92</Lines>
  <Paragraphs>26</Paragraphs>
  <TotalTime>22</TotalTime>
  <ScaleCrop>false</ScaleCrop>
  <LinksUpToDate>false</LinksUpToDate>
  <CharactersWithSpaces>15205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2026-07-23T01:54:38Z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