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77777777"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9A742B5" w14:textId="77777777"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77777777"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558F212F" w14:textId="49EBC940" w:rsidR="00DA18BA" w:rsidRPr="007A0C5E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7A0C5E">
          <w:rPr>
            <w:rStyle w:val="aa"/>
            <w:bCs/>
            <w:noProof/>
          </w:rPr>
          <w:t>Введение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EF8E44F" w14:textId="5253E783" w:rsidR="00DA18BA" w:rsidRPr="007A0C5E" w:rsidRDefault="00040C6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7A0C5E">
          <w:rPr>
            <w:rStyle w:val="aa"/>
            <w:bCs/>
            <w:noProof/>
          </w:rPr>
          <w:t>1.Расчет сечения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5B9B8A" w14:textId="39D8F621" w:rsidR="00DA18BA" w:rsidRPr="007A0C5E" w:rsidRDefault="00040C6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7A0C5E">
          <w:rPr>
            <w:rStyle w:val="aa"/>
            <w:noProof/>
          </w:rPr>
          <w:t>1.1. Определение матричного элемента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E6AEC41" w14:textId="36CB068D" w:rsidR="00DA18BA" w:rsidRPr="007A0C5E" w:rsidRDefault="00040C6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7A0C5E">
          <w:rPr>
            <w:rStyle w:val="aa"/>
            <w:noProof/>
          </w:rPr>
          <w:t>1.2. Кинематика и дифференциальное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_Toc75888465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6F63B67" w14:textId="64905BB5" w:rsidR="00DA18BA" w:rsidRPr="007A0C5E" w:rsidRDefault="00040C6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7A0C5E">
          <w:rPr>
            <w:rStyle w:val="aa"/>
            <w:noProof/>
          </w:rPr>
          <w:t>1.3. Сечение при малых импульсах фотона.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_Toc75888466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F51A454" w14:textId="571F6A21" w:rsidR="00DA18BA" w:rsidRPr="007A0C5E" w:rsidRDefault="00040C6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7A0C5E">
          <w:rPr>
            <w:rStyle w:val="aa"/>
            <w:noProof/>
          </w:rPr>
          <w:t>1.4. Кинематика захвата и сечение.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_Toc75888467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6A19F00C" w14:textId="442A4A41" w:rsidR="00DA18BA" w:rsidRPr="007A0C5E" w:rsidRDefault="00040C6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7A0C5E">
          <w:rPr>
            <w:rStyle w:val="aa"/>
            <w:noProof/>
          </w:rPr>
          <w:t>1.5. Влияние температуры.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_Toc75888468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001AEBC8" w14:textId="43508942" w:rsidR="00DA18BA" w:rsidRPr="007A0C5E" w:rsidRDefault="00040C6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7A0C5E">
          <w:rPr>
            <w:rStyle w:val="aa"/>
            <w:bCs/>
            <w:noProof/>
          </w:rPr>
          <w:t>2.Расчет скорости захвата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_Toc75888469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3D40EF5" w14:textId="5795AC57" w:rsidR="00DA18BA" w:rsidRPr="007A0C5E" w:rsidRDefault="00040C6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7A0C5E">
          <w:rPr>
            <w:rStyle w:val="aa"/>
            <w:noProof/>
          </w:rPr>
          <w:t>2.1. Определение фазовой плотности частиц ТМ.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_Toc75888470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194E826F" w14:textId="65105A91" w:rsidR="00DA18BA" w:rsidRPr="007A0C5E" w:rsidRDefault="00040C6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7A0C5E">
          <w:rPr>
            <w:rStyle w:val="aa"/>
            <w:noProof/>
          </w:rPr>
          <w:t>2.2. Описание процесса интегрирования.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_Toc75888471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73EE8B60" w14:textId="2B80C129" w:rsidR="00DA18BA" w:rsidRPr="007A0C5E" w:rsidRDefault="00040C6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7A0C5E">
          <w:rPr>
            <w:rStyle w:val="aa"/>
            <w:bCs/>
            <w:noProof/>
          </w:rPr>
          <w:t>3.Результаты расчета.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_Toc75888472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2165E4C7" w14:textId="76246650" w:rsidR="00DA18BA" w:rsidRPr="007A0C5E" w:rsidRDefault="00040C6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7A0C5E">
          <w:rPr>
            <w:rStyle w:val="aa"/>
            <w:bCs/>
            <w:noProof/>
            <w:lang w:val="en-US"/>
          </w:rPr>
          <w:t>4</w:t>
        </w:r>
        <w:r w:rsidR="00DA18BA" w:rsidRPr="007A0C5E">
          <w:rPr>
            <w:rStyle w:val="aa"/>
            <w:bCs/>
            <w:noProof/>
          </w:rPr>
          <w:t>.Заключение.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_Toc75888473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D06665B" w14:textId="64DA3E9A" w:rsidR="00DA18BA" w:rsidRDefault="00040C6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7A0C5E">
          <w:rPr>
            <w:rStyle w:val="aa"/>
            <w:bCs/>
            <w:noProof/>
          </w:rPr>
          <w:t>5.Список литературы.</w:t>
        </w:r>
        <w:r w:rsidR="00DA18BA" w:rsidRPr="007A0C5E">
          <w:rPr>
            <w:noProof/>
            <w:webHidden/>
          </w:rPr>
          <w:tab/>
        </w:r>
        <w:r w:rsidR="00DA18BA" w:rsidRPr="007A0C5E">
          <w:rPr>
            <w:noProof/>
            <w:webHidden/>
          </w:rPr>
          <w:fldChar w:fldCharType="begin"/>
        </w:r>
        <w:r w:rsidR="00DA18BA" w:rsidRPr="007A0C5E">
          <w:rPr>
            <w:noProof/>
            <w:webHidden/>
          </w:rPr>
          <w:instrText xml:space="preserve"> PAGEREF _Toc75888474 \h </w:instrText>
        </w:r>
        <w:r w:rsidR="00DA18BA" w:rsidRPr="007A0C5E">
          <w:rPr>
            <w:noProof/>
            <w:webHidden/>
          </w:rPr>
        </w:r>
        <w:r w:rsidR="00DA18BA" w:rsidRPr="007A0C5E">
          <w:rPr>
            <w:noProof/>
            <w:webHidden/>
          </w:rPr>
          <w:fldChar w:fldCharType="separate"/>
        </w:r>
        <w:r w:rsidR="001F7FDF" w:rsidRPr="007A0C5E">
          <w:rPr>
            <w:noProof/>
            <w:webHidden/>
          </w:rPr>
          <w:t>2</w:t>
        </w:r>
        <w:r w:rsidR="00DA18BA" w:rsidRPr="007A0C5E">
          <w:rPr>
            <w:noProof/>
            <w:webHidden/>
          </w:rPr>
          <w:fldChar w:fldCharType="end"/>
        </w:r>
      </w:hyperlink>
    </w:p>
    <w:p w14:paraId="59919683" w14:textId="77777777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0" w:name="_Toc75888462"/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31644191" w14:textId="50E91427" w:rsidR="00D369DA" w:rsidRPr="00D369DA" w:rsidRDefault="00040C6A" w:rsidP="009B0D12">
      <w:pPr>
        <w:rPr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dN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=C-EN-A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45819B27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 xml:space="preserve">В этом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040C6A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040C6A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040C6A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040C6A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040C6A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040C6A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040C6A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040C6A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040C6A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040C6A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040C6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040C6A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040C6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040C6A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040C6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040C6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040C6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040C6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C85A4F" w:rsidRDefault="00040C6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C85A4F" w:rsidRDefault="00040C6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C85A4F" w:rsidRDefault="00040C6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C85A4F" w:rsidRDefault="00040C6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C85A4F" w:rsidRDefault="00040C6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C85A4F" w:rsidRDefault="00040C6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C85A4F" w:rsidRDefault="00C85A4F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C85A4F" w:rsidRDefault="00C85A4F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C85A4F" w:rsidRDefault="00040C6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C85A4F" w:rsidRDefault="00040C6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040C6A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040C6A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040C6A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040C6A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040C6A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040C6A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040C6A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040C6A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040C6A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009119B0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77777777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C85A4F" w:rsidRPr="00661029" w:rsidRDefault="00040C6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C85A4F" w:rsidRPr="00661029" w:rsidRDefault="00040C6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C85A4F" w:rsidRPr="00661029" w:rsidRDefault="00040C6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C85A4F" w:rsidRPr="00661029" w:rsidRDefault="00040C6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C85A4F" w:rsidRPr="00661029" w:rsidRDefault="00040C6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C85A4F" w:rsidRPr="00661029" w:rsidRDefault="00040C6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C85A4F" w:rsidRPr="00661029" w:rsidRDefault="00040C6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C85A4F" w:rsidRPr="00661029" w:rsidRDefault="00040C6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C85A4F" w:rsidRPr="00661029" w:rsidRDefault="00040C6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C85A4F" w:rsidRPr="00661029" w:rsidRDefault="00C85A4F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C85A4F" w:rsidRPr="00661029" w:rsidRDefault="00040C6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C85A4F" w:rsidRPr="00661029" w:rsidRDefault="00C85A4F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C85A4F" w:rsidRPr="00661029" w:rsidRDefault="00040C6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C85A4F" w:rsidRPr="00661029" w:rsidRDefault="00040C6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040C6A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040C6A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040C6A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040C6A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040C6A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040C6A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040C6A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040C6A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77777777"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040C6A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040C6A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040C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040C6A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040C6A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040C6A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040C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040C6A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040C6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040C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040C6A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040C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040C6A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040C6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04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040C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040C6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040C6A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040C6A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92CF0B0" w:rsidR="001B0776" w:rsidRPr="001B0776" w:rsidRDefault="00040C6A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53654CB2"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040C6A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77777777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C85A4F" w:rsidRPr="006820DE" w:rsidRDefault="00040C6A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C85A4F" w:rsidRPr="006820DE" w:rsidRDefault="00040C6A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C85A4F" w:rsidRPr="006820DE" w:rsidRDefault="00040C6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C85A4F" w:rsidRPr="006820DE" w:rsidRDefault="00040C6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C85A4F" w:rsidRPr="002F57A2" w:rsidRDefault="00040C6A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C85A4F" w:rsidRPr="002F57A2" w:rsidRDefault="00040C6A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C85A4F" w:rsidRPr="006820DE" w:rsidRDefault="00040C6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C85A4F" w:rsidRPr="006820DE" w:rsidRDefault="00040C6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C85A4F" w:rsidRPr="00307283" w:rsidRDefault="00040C6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C85A4F" w:rsidRPr="00307283" w:rsidRDefault="00040C6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C85A4F" w:rsidRPr="006820DE" w:rsidRDefault="00040C6A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C85A4F" w:rsidRPr="006820DE" w:rsidRDefault="00040C6A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2DC0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C85A4F" w:rsidRPr="006820DE" w:rsidRDefault="00040C6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C85A4F" w:rsidRPr="006820DE" w:rsidRDefault="00040C6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2BE5F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C85A4F" w:rsidRPr="00F62E54" w:rsidRDefault="00C85A4F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C85A4F" w:rsidRPr="00F62E54" w:rsidRDefault="00C85A4F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77777777"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4386CCFC" w14:textId="77777777" w:rsidR="00F62E54" w:rsidRPr="001E78B0" w:rsidRDefault="00F62E54" w:rsidP="00537C28"/>
    <w:p w14:paraId="2572C66D" w14:textId="77777777" w:rsidR="00834FA1" w:rsidRPr="00834FA1" w:rsidRDefault="00040C6A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77777777" w:rsidR="00834FA1" w:rsidRPr="00834FA1" w:rsidRDefault="00040C6A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77777777" w:rsidR="00242F98" w:rsidRPr="00242F98" w:rsidRDefault="00040C6A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42210F61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77777777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77777777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77777777" w:rsidR="00242F98" w:rsidRPr="00E74861" w:rsidRDefault="00040C6A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040C6A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lastRenderedPageBreak/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040C6A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040C6A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C85A4F" w:rsidRPr="006820DE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C85A4F" w:rsidRPr="006820DE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C85A4F" w:rsidRPr="008837B8" w:rsidRDefault="00040C6A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C85A4F" w:rsidRPr="008837B8" w:rsidRDefault="00040C6A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C85A4F" w:rsidRPr="00307283" w:rsidRDefault="00040C6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C85A4F" w:rsidRPr="00307283" w:rsidRDefault="00040C6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C85A4F" w:rsidRPr="008F53D0" w:rsidRDefault="00C85A4F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C85A4F" w:rsidRPr="008F53D0" w:rsidRDefault="00C85A4F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C85A4F" w:rsidRPr="008F53D0" w:rsidRDefault="00040C6A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C85A4F" w:rsidRPr="008F53D0" w:rsidRDefault="00040C6A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C85A4F" w:rsidRPr="00C65F3A" w:rsidRDefault="00040C6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C85A4F" w:rsidRPr="00C65F3A" w:rsidRDefault="00040C6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C85A4F" w:rsidRPr="00307283" w:rsidRDefault="00040C6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C85A4F" w:rsidRPr="00307283" w:rsidRDefault="00040C6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77777777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040C6A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040C6A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040C6A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lastRenderedPageBreak/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040C6A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040C6A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040C6A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040C6A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w:lastRenderedPageBreak/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040C6A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040C6A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040C6A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040C6A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040C6A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040C6A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r w:rsidR="00A36E18">
        <w:t>етодом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040C6A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040C6A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040C6A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1A28B253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040C6A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040C6A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C85A4F" w:rsidRPr="000F2DE6" w:rsidRDefault="00040C6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C85A4F" w:rsidRPr="000F2DE6" w:rsidRDefault="00040C6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C85A4F" w:rsidRPr="000F2DE6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C85A4F" w:rsidRPr="000F2DE6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C85A4F" w:rsidRPr="00B21A39" w:rsidRDefault="00040C6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C85A4F" w:rsidRPr="00B21A39" w:rsidRDefault="00040C6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C85A4F" w:rsidRPr="000F2DE6" w:rsidRDefault="00C85A4F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C85A4F" w:rsidRPr="000F2DE6" w:rsidRDefault="00C85A4F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040C6A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040C6A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040C6A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040C6A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C85A4F" w:rsidRPr="00C10A0B" w:rsidRDefault="00040C6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C85A4F" w:rsidRPr="00C10A0B" w:rsidRDefault="00040C6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C85A4F" w:rsidRPr="00B21A39" w:rsidRDefault="00C85A4F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C85A4F" w:rsidRPr="00B21A39" w:rsidRDefault="00C85A4F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C85A4F" w:rsidRPr="008763F1" w:rsidRDefault="00040C6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C85A4F" w:rsidRPr="008763F1" w:rsidRDefault="00040C6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C85A4F" w:rsidRPr="008763F1" w:rsidRDefault="00040C6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C85A4F" w:rsidRPr="008763F1" w:rsidRDefault="00040C6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C85A4F" w:rsidRPr="008763F1" w:rsidRDefault="00040C6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C85A4F" w:rsidRPr="008763F1" w:rsidRDefault="00040C6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C85A4F" w:rsidRPr="00B21A39" w:rsidRDefault="00040C6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C85A4F" w:rsidRPr="00B21A39" w:rsidRDefault="00040C6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C85A4F" w:rsidRPr="00B21A39" w:rsidRDefault="00040C6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C85A4F" w:rsidRPr="00B21A39" w:rsidRDefault="00040C6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C85A4F" w:rsidRPr="00B21A39" w:rsidRDefault="00040C6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C85A4F" w:rsidRPr="00B21A39" w:rsidRDefault="00040C6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040C6A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77777777" w:rsidR="00144065" w:rsidRDefault="00144065" w:rsidP="00B343CD">
      <w:r>
        <w:lastRenderedPageBreak/>
        <w:t>В результате,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040C6A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040C6A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040C6A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040C6A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040C6A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040C6A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040C6A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040C6A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040C6A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040C6A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040C6A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040C6A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040C6A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040C6A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040C6A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040C6A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040C6A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040C6A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040C6A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040C6A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7E8F8979" w:rsidR="00A52AE5" w:rsidRPr="00A52AE5" w:rsidRDefault="00040C6A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040C6A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r w:rsidR="00A14AFD">
        <w:t xml:space="preserve">ница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C85A4F" w:rsidRDefault="00C85A4F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C85A4F" w:rsidRDefault="00C85A4F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C85A4F" w:rsidRDefault="00C85A4F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C85A4F" w:rsidRDefault="00C85A4F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777777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C85A4F" w:rsidRDefault="00C85A4F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C85A4F" w:rsidRDefault="00C85A4F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C85A4F" w:rsidRDefault="00C85A4F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C85A4F" w:rsidRDefault="00C85A4F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315451CD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C85A4F" w:rsidRDefault="00C85A4F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C85A4F" w:rsidRDefault="00C85A4F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C85A4F" w:rsidRDefault="00C85A4F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C85A4F" w:rsidRDefault="00C85A4F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D43EEB" w:rsidRPr="00D43EEB">
        <w:rPr>
          <w:noProof/>
        </w:rPr>
        <w:drawing>
          <wp:inline distT="0" distB="0" distL="0" distR="0" wp14:anchorId="122EE19F" wp14:editId="0F1D9621">
            <wp:extent cx="3065068" cy="2253369"/>
            <wp:effectExtent l="0" t="0" r="2540" b="0"/>
            <wp:docPr id="256" name="Рисунок 256" descr="D:\tmp\art\sections\integrators\earth_count\result\elastic\0\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elastic\0\EL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649" cy="22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05C81">
        <w:rPr>
          <w:noProof/>
        </w:rPr>
        <w:drawing>
          <wp:inline distT="0" distB="0" distL="0" distR="0" wp14:anchorId="1FBE35A5" wp14:editId="34BC7479">
            <wp:extent cx="3066667" cy="2228850"/>
            <wp:effectExtent l="0" t="0" r="635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82" cy="224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C85A4F" w:rsidRDefault="00C85A4F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C85A4F" w:rsidRDefault="00C85A4F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C85A4F" w:rsidRDefault="00C85A4F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C85A4F" w:rsidRDefault="00C85A4F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7C1E7931">
            <wp:extent cx="3029553" cy="2201875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39" cy="22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4AFB0D30">
            <wp:extent cx="3065323" cy="2227873"/>
            <wp:effectExtent l="0" t="0" r="190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20" cy="22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067783CD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C85A4F" w:rsidRDefault="00C85A4F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8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" filled="f" stroked="f" strokeweight=".5pt">
                <v:textbox>
                  <w:txbxContent>
                    <w:p w14:paraId="66F07409" w14:textId="6AA80BC6" w:rsidR="00C85A4F" w:rsidRDefault="00C85A4F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C85A4F" w:rsidRDefault="00C85A4F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9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LPSw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" filled="f" stroked="f" strokeweight=".5pt">
                <v:textbox>
                  <w:txbxContent>
                    <w:p w14:paraId="6F7F9BBD" w14:textId="46698F61" w:rsidR="00C85A4F" w:rsidRDefault="00C85A4F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3274A3C5" wp14:editId="1FDF9506">
            <wp:extent cx="2962910" cy="2153440"/>
            <wp:effectExtent l="0" t="0" r="889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43" cy="216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605C81">
        <w:rPr>
          <w:noProof/>
        </w:rPr>
        <w:drawing>
          <wp:inline distT="0" distB="0" distL="0" distR="0" wp14:anchorId="4EC5BFD1" wp14:editId="498D1DFE">
            <wp:extent cx="2911449" cy="2138335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25" cy="21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040C6A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040C6A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040C6A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11" w:name="_Toc75888473"/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040C6A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1F485CE4" w:rsidR="00072C2E" w:rsidRPr="00605C81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0574702F" w14:textId="4506549D" w:rsidR="00695A1E" w:rsidRDefault="00695A1E" w:rsidP="00470E8D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3A51AE24" w:rsidR="00695A1E" w:rsidRPr="00695A1E" w:rsidRDefault="007D1F44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5F18C162" wp14:editId="459540EC">
            <wp:extent cx="2809037" cy="206311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7" cy="207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64D5A601" w14:textId="1FFA7E92" w:rsidR="009C1D69" w:rsidRPr="00370C9B" w:rsidRDefault="008147C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C85A4F" w:rsidRDefault="00C85A4F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0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BwGrf9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C85A4F" w:rsidRDefault="00C85A4F" w:rsidP="008147C7"/>
                  </w:txbxContent>
                </v:textbox>
              </v:shape>
            </w:pict>
          </mc:Fallback>
        </mc:AlternateContent>
      </w:r>
      <w:r w:rsidR="00577F36" w:rsidRPr="00577F36">
        <w:t xml:space="preserve"> </w:t>
      </w:r>
    </w:p>
    <w:p w14:paraId="106A55FA" w14:textId="54AACBEB" w:rsidR="00051D1E" w:rsidRDefault="00051D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lastRenderedPageBreak/>
        <w:tab/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040C6A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77777777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Pr="00866B75">
        <w:t>, т.е. требуется скорость на порядок больше, чтобы произошёл резонанс</w:t>
      </w:r>
      <w:r>
        <w:t>.</w:t>
      </w:r>
    </w:p>
    <w:p w14:paraId="1DF2BBBE" w14:textId="6893C7AA" w:rsidR="001C080E" w:rsidRDefault="00051D1E">
      <w:pPr>
        <w:rPr>
          <w:rFonts w:eastAsia="Times New Roman"/>
          <w:b/>
          <w:bCs/>
          <w:kern w:val="0"/>
          <w:sz w:val="32"/>
          <w:szCs w:val="32"/>
        </w:rPr>
      </w:pPr>
      <w:r>
        <w:tab/>
      </w:r>
      <w:r w:rsidR="008F318C">
        <w:t>Возможен неупругий захват также и благодаря эффекту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  <w:r w:rsidR="001C080E"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1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77777777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так как в этом случае характерные температурные скорости сместят область неупругого захвата в упругую. Поэтому на солнце неупругий процесс не вносит никакого вклада.</w:t>
      </w:r>
    </w:p>
    <w:p w14:paraId="722A4BF2" w14:textId="7068C2DB" w:rsidR="00551B91" w:rsidRPr="001F7FDF" w:rsidRDefault="00A348DA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с помощью эффекта Мигдала будет выше и составит значительный вклад, что </w:t>
      </w:r>
      <w:r w:rsidR="00C6255C">
        <w:rPr>
          <w:rFonts w:eastAsia="Times New Roman"/>
        </w:rPr>
        <w:t>можно</w:t>
      </w:r>
      <w:r w:rsidR="00C65BD4">
        <w:rPr>
          <w:rFonts w:eastAsia="Times New Roman"/>
        </w:rPr>
        <w:t xml:space="preserve"> </w:t>
      </w:r>
      <w:r w:rsidR="00370C9B">
        <w:rPr>
          <w:rFonts w:eastAsia="Times New Roman"/>
        </w:rPr>
        <w:t>рассматривать</w:t>
      </w:r>
      <w:r w:rsidR="00C6255C">
        <w:rPr>
          <w:rFonts w:eastAsia="Times New Roman"/>
        </w:rPr>
        <w:t xml:space="preserve"> дальнейшем</w:t>
      </w:r>
      <w:r w:rsidR="00C65BD4">
        <w:rPr>
          <w:rFonts w:eastAsia="Times New Roman"/>
        </w:rPr>
        <w:t>.</w:t>
      </w:r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  <w:bookmarkStart w:id="12" w:name="_Toc75888474"/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2"/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rPr>
          <w:lang w:val="en-US"/>
        </w:rPr>
        <w:t>S.Baum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r w:rsidRPr="002A454F">
        <w:rPr>
          <w:lang w:val="en-US"/>
        </w:rPr>
        <w:t xml:space="preserve">G.Busoni,1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46017">
        <w:rPr>
          <w:lang w:val="en-US"/>
        </w:rPr>
        <w:t>R.Catena</w:t>
      </w:r>
      <w:proofErr w:type="spell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Prog.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r w:rsidRPr="00524F02">
        <w:rPr>
          <w:lang w:val="en-US"/>
        </w:rPr>
        <w:t>J.Pradler</w:t>
      </w:r>
      <w:proofErr w:type="spell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E74E92">
        <w:rPr>
          <w:lang w:val="en-US"/>
        </w:rPr>
        <w:t>A.Gould</w:t>
      </w:r>
      <w:proofErr w:type="spellEnd"/>
      <w:r w:rsidRPr="00E74E92">
        <w:rPr>
          <w:lang w:val="en-US"/>
        </w:rPr>
        <w:t xml:space="preserve">. Resonant Enhancements In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N.Vinyoles</w:t>
      </w:r>
      <w:proofErr w:type="spell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D.L.Anderson</w:t>
      </w:r>
      <w:proofErr w:type="spell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H.D.Holland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>, Compositional Model for the Earth's Core. Treatise on Geochemistry, Pergamon (2003) 547-568.</w:t>
      </w:r>
    </w:p>
    <w:p w14:paraId="469A0F8D" w14:textId="4EBA895C" w:rsidR="0077159F" w:rsidRPr="00881F74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sectPr w:rsidR="0077159F" w:rsidRPr="00881F74" w:rsidSect="00B51F0A">
      <w:footerReference w:type="default" r:id="rId21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1ECF" w14:textId="77777777" w:rsidR="00040C6A" w:rsidRDefault="00040C6A" w:rsidP="00C8504A">
      <w:r>
        <w:separator/>
      </w:r>
    </w:p>
  </w:endnote>
  <w:endnote w:type="continuationSeparator" w:id="0">
    <w:p w14:paraId="768F5A8B" w14:textId="77777777" w:rsidR="00040C6A" w:rsidRDefault="00040C6A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314153"/>
      <w:docPartObj>
        <w:docPartGallery w:val="Page Numbers (Bottom of Page)"/>
        <w:docPartUnique/>
      </w:docPartObj>
    </w:sdtPr>
    <w:sdtEndPr/>
    <w:sdtContent>
      <w:p w14:paraId="3A27FB8D" w14:textId="150C3F0F" w:rsidR="00C85A4F" w:rsidRDefault="00C85A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EEB">
          <w:rPr>
            <w:noProof/>
          </w:rPr>
          <w:t>33</w:t>
        </w:r>
        <w:r>
          <w:fldChar w:fldCharType="end"/>
        </w:r>
      </w:p>
    </w:sdtContent>
  </w:sdt>
  <w:p w14:paraId="2AEA281D" w14:textId="77777777" w:rsidR="00C85A4F" w:rsidRDefault="00C85A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C464" w14:textId="77777777" w:rsidR="00040C6A" w:rsidRDefault="00040C6A" w:rsidP="00C8504A">
      <w:r>
        <w:separator/>
      </w:r>
    </w:p>
  </w:footnote>
  <w:footnote w:type="continuationSeparator" w:id="0">
    <w:p w14:paraId="37380157" w14:textId="77777777" w:rsidR="00040C6A" w:rsidRDefault="00040C6A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11CC"/>
    <w:rsid w:val="000F22DE"/>
    <w:rsid w:val="0010352C"/>
    <w:rsid w:val="00106911"/>
    <w:rsid w:val="001123EA"/>
    <w:rsid w:val="001124AB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454F"/>
    <w:rsid w:val="002A708E"/>
    <w:rsid w:val="002B136D"/>
    <w:rsid w:val="002B1A53"/>
    <w:rsid w:val="002B2037"/>
    <w:rsid w:val="002B3418"/>
    <w:rsid w:val="002B613D"/>
    <w:rsid w:val="002C000E"/>
    <w:rsid w:val="002D7B90"/>
    <w:rsid w:val="002E01A2"/>
    <w:rsid w:val="002F6F67"/>
    <w:rsid w:val="002F7B2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C9B"/>
    <w:rsid w:val="00372B5B"/>
    <w:rsid w:val="00395909"/>
    <w:rsid w:val="003B46B2"/>
    <w:rsid w:val="003C4413"/>
    <w:rsid w:val="003C6FAA"/>
    <w:rsid w:val="003D59AD"/>
    <w:rsid w:val="003D6C27"/>
    <w:rsid w:val="003E4669"/>
    <w:rsid w:val="00401CF2"/>
    <w:rsid w:val="00411B17"/>
    <w:rsid w:val="0041628F"/>
    <w:rsid w:val="00430E39"/>
    <w:rsid w:val="00437670"/>
    <w:rsid w:val="00451CD5"/>
    <w:rsid w:val="00461009"/>
    <w:rsid w:val="0047041A"/>
    <w:rsid w:val="00470E8D"/>
    <w:rsid w:val="0047397F"/>
    <w:rsid w:val="00474ACB"/>
    <w:rsid w:val="004823C8"/>
    <w:rsid w:val="004833EE"/>
    <w:rsid w:val="004C16DC"/>
    <w:rsid w:val="004C1D0A"/>
    <w:rsid w:val="004C3EC2"/>
    <w:rsid w:val="004C6718"/>
    <w:rsid w:val="004D096E"/>
    <w:rsid w:val="004D2EEF"/>
    <w:rsid w:val="004F5C9C"/>
    <w:rsid w:val="004F72A1"/>
    <w:rsid w:val="00502700"/>
    <w:rsid w:val="005228DA"/>
    <w:rsid w:val="00524F02"/>
    <w:rsid w:val="005255FA"/>
    <w:rsid w:val="00526C05"/>
    <w:rsid w:val="00535949"/>
    <w:rsid w:val="00537C28"/>
    <w:rsid w:val="00540F7D"/>
    <w:rsid w:val="00541768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A4BF8"/>
    <w:rsid w:val="005C7305"/>
    <w:rsid w:val="005C7D37"/>
    <w:rsid w:val="005D2142"/>
    <w:rsid w:val="005D3370"/>
    <w:rsid w:val="005E2ECE"/>
    <w:rsid w:val="005F440E"/>
    <w:rsid w:val="005F4780"/>
    <w:rsid w:val="0060138A"/>
    <w:rsid w:val="00605C81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796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910C2"/>
    <w:rsid w:val="00792576"/>
    <w:rsid w:val="007A0C5E"/>
    <w:rsid w:val="007B2E64"/>
    <w:rsid w:val="007B683A"/>
    <w:rsid w:val="007D05F2"/>
    <w:rsid w:val="007D1F44"/>
    <w:rsid w:val="007D541B"/>
    <w:rsid w:val="007E1E7A"/>
    <w:rsid w:val="007E4EDC"/>
    <w:rsid w:val="007E53C3"/>
    <w:rsid w:val="007E53F7"/>
    <w:rsid w:val="008001DD"/>
    <w:rsid w:val="008032CD"/>
    <w:rsid w:val="008147C7"/>
    <w:rsid w:val="00824F1C"/>
    <w:rsid w:val="00833589"/>
    <w:rsid w:val="00833922"/>
    <w:rsid w:val="00834FA1"/>
    <w:rsid w:val="00844736"/>
    <w:rsid w:val="00851FB3"/>
    <w:rsid w:val="00875AD4"/>
    <w:rsid w:val="00877ACA"/>
    <w:rsid w:val="0088077F"/>
    <w:rsid w:val="00881F74"/>
    <w:rsid w:val="008837B8"/>
    <w:rsid w:val="00895C6B"/>
    <w:rsid w:val="00895FDB"/>
    <w:rsid w:val="0089676A"/>
    <w:rsid w:val="00896E2A"/>
    <w:rsid w:val="008A5506"/>
    <w:rsid w:val="008C17A1"/>
    <w:rsid w:val="008C619F"/>
    <w:rsid w:val="008D2807"/>
    <w:rsid w:val="008D7EE2"/>
    <w:rsid w:val="008F318C"/>
    <w:rsid w:val="008F49B1"/>
    <w:rsid w:val="00903541"/>
    <w:rsid w:val="009074ED"/>
    <w:rsid w:val="00911CE0"/>
    <w:rsid w:val="00914736"/>
    <w:rsid w:val="0092490D"/>
    <w:rsid w:val="009360B3"/>
    <w:rsid w:val="009367DB"/>
    <w:rsid w:val="00953E2D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D1B8B"/>
    <w:rsid w:val="009D5A19"/>
    <w:rsid w:val="00A10310"/>
    <w:rsid w:val="00A14768"/>
    <w:rsid w:val="00A14AFD"/>
    <w:rsid w:val="00A25E49"/>
    <w:rsid w:val="00A31704"/>
    <w:rsid w:val="00A348DA"/>
    <w:rsid w:val="00A36E18"/>
    <w:rsid w:val="00A40568"/>
    <w:rsid w:val="00A52AE5"/>
    <w:rsid w:val="00A5754D"/>
    <w:rsid w:val="00A60D99"/>
    <w:rsid w:val="00A61976"/>
    <w:rsid w:val="00A61D6C"/>
    <w:rsid w:val="00A70BB2"/>
    <w:rsid w:val="00A77128"/>
    <w:rsid w:val="00A82F59"/>
    <w:rsid w:val="00A84FEA"/>
    <w:rsid w:val="00AA5FAA"/>
    <w:rsid w:val="00AB030F"/>
    <w:rsid w:val="00AB5BFD"/>
    <w:rsid w:val="00AE022B"/>
    <w:rsid w:val="00AE3E26"/>
    <w:rsid w:val="00AF090D"/>
    <w:rsid w:val="00B0180F"/>
    <w:rsid w:val="00B11888"/>
    <w:rsid w:val="00B16504"/>
    <w:rsid w:val="00B21607"/>
    <w:rsid w:val="00B235E5"/>
    <w:rsid w:val="00B26F63"/>
    <w:rsid w:val="00B34359"/>
    <w:rsid w:val="00B343CD"/>
    <w:rsid w:val="00B34C8C"/>
    <w:rsid w:val="00B455A6"/>
    <w:rsid w:val="00B51F0A"/>
    <w:rsid w:val="00B543A7"/>
    <w:rsid w:val="00B636B9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5AF5"/>
    <w:rsid w:val="00C213DE"/>
    <w:rsid w:val="00C218ED"/>
    <w:rsid w:val="00C310C7"/>
    <w:rsid w:val="00C4291D"/>
    <w:rsid w:val="00C51E8C"/>
    <w:rsid w:val="00C6255C"/>
    <w:rsid w:val="00C65BD4"/>
    <w:rsid w:val="00C817EE"/>
    <w:rsid w:val="00C8330E"/>
    <w:rsid w:val="00C8504A"/>
    <w:rsid w:val="00C85A4F"/>
    <w:rsid w:val="00CA5BBD"/>
    <w:rsid w:val="00CC1A58"/>
    <w:rsid w:val="00CD1CF2"/>
    <w:rsid w:val="00D07A74"/>
    <w:rsid w:val="00D172FA"/>
    <w:rsid w:val="00D369DA"/>
    <w:rsid w:val="00D41CE5"/>
    <w:rsid w:val="00D43EEB"/>
    <w:rsid w:val="00D44D1D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2763C"/>
    <w:rsid w:val="00E32D76"/>
    <w:rsid w:val="00E34E70"/>
    <w:rsid w:val="00E35894"/>
    <w:rsid w:val="00E40534"/>
    <w:rsid w:val="00E442DC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362C"/>
    <w:rsid w:val="00F85A0F"/>
    <w:rsid w:val="00FA0A87"/>
    <w:rsid w:val="00FA2754"/>
    <w:rsid w:val="00FA6FB3"/>
    <w:rsid w:val="00FB6B44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F6116-44F9-42D9-9E9E-E9113426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34</Pages>
  <Words>6027</Words>
  <Characters>34360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Максим Товстун</cp:lastModifiedBy>
  <cp:revision>122</cp:revision>
  <cp:lastPrinted>2021-06-30T12:17:00Z</cp:lastPrinted>
  <dcterms:created xsi:type="dcterms:W3CDTF">2021-06-29T07:33:00Z</dcterms:created>
  <dcterms:modified xsi:type="dcterms:W3CDTF">2021-07-01T00:34:00Z</dcterms:modified>
</cp:coreProperties>
</file>