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電子教科書におけるサーバ連携機能の開発</w:t>
      </w:r>
    </w:p>
    <w:p>
      <w:pPr>
        <w:pStyle w:val="Normal"/>
        <w:jc w:val="right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color w:val="000000"/>
          <w:u w:color="000000"/>
          <w:rtl w:val="0"/>
          <w:lang w:val="en-US"/>
        </w:rPr>
        <w:t>A1078</w:t>
      </w:r>
      <w:r>
        <w:rPr>
          <w:color w:val="000000"/>
          <w:u w:color="000000"/>
          <w:rtl w:val="0"/>
          <w:lang w:val="en-US"/>
        </w:rPr>
        <w:t>307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岩崎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広平</w:t>
      </w:r>
    </w:p>
    <w:p>
      <w:pPr>
        <w:pStyle w:val="Normal"/>
        <w:jc w:val="right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指導教員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田村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　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恭久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ind w:left="0" w:firstLine="0"/>
        <w:sectPr>
          <w:headerReference w:type="default" r:id="rId4"/>
          <w:footerReference w:type="default" r:id="rId5"/>
          <w:pgSz w:w="11900" w:h="16840" w:orient="portrait"/>
          <w:pgMar w:top="1701" w:right="1080" w:bottom="1701" w:left="1080" w:header="600" w:footer="992"/>
          <w:bidi w:val="0"/>
        </w:sectPr>
      </w:pPr>
    </w:p>
    <w:p>
      <w:pPr>
        <w:pStyle w:val="List Paragraph"/>
        <w:numPr>
          <w:ilvl w:val="0"/>
          <w:numId w:val="3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はじめに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電子教科書を導入することには，印刷費用の削減，動画や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3D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など書籍では表現できないコンテンツの表示，障碍のある方を含めた広い学習者への対応などの利点がある．また，生徒の情報をオンラインで管理，蓄積，整理することや，協調学習への利用も期待できる．しかし，現状では電子教科書に要求される機能と，それらを実現するための仕様が定まっていない．田村研究室では，この問題を解決するために，教員や出版社へのアンケートを実施し，電子教科書に要求される機能項目を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73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項目に整理してきた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[1]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．本研究では，これらの項目のうち，表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1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の項目に関連する機能を開発し，実現方法として提案，公開した．</w:t>
      </w:r>
    </w:p>
    <w:p>
      <w:pPr>
        <w:pStyle w:val="List Paragraph"/>
        <w:numPr>
          <w:ilvl w:val="0"/>
          <w:numId w:val="3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サーバ連携機能の開発の方法</w:t>
      </w:r>
    </w:p>
    <w:p>
      <w:pPr>
        <w:pStyle w:val="List Paragraph"/>
        <w:numPr>
          <w:ilvl w:val="1"/>
          <w:numId w:val="5"/>
        </w:numPr>
        <w:tabs>
          <w:tab w:val="num" w:pos="567"/>
          <w:tab w:val="clear" w:pos="0"/>
        </w:tabs>
        <w:ind w:left="567" w:hanging="567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クライアントの機能の開発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クライアント側は，米国の電子出版業界の標準化団体である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International Digital Publishing Forum (IDPF)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が策定したファイル企画である，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を用いる．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はコンテンツ開発が容易であることや，インタラクティブな動作やオンラインでの通信を可能にする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javascript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を扱えるなどのメリットがある．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iOS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や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Android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を搭載した機種や，楽天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kobo Touch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など多くのデバイスで動作する．本研究では，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IDPF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のオープンソース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ビューアであり，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Web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ブラウザ上で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EPUB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を閲覧することができる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readium-js-viewer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[2]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にサーバ連携と，それによる協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648334</wp:posOffset>
                </wp:positionH>
                <wp:positionV relativeFrom="page">
                  <wp:posOffset>5001260</wp:posOffset>
                </wp:positionV>
                <wp:extent cx="3086100" cy="955593"/>
                <wp:effectExtent l="0" t="0" r="0" b="0"/>
                <wp:wrapThrough wrapText="bothSides" distL="152400" distR="152400">
                  <wp:wrapPolygon edited="1">
                    <wp:start x="-178" y="-574"/>
                    <wp:lineTo x="-178" y="-574"/>
                    <wp:lineTo x="-178" y="42773"/>
                    <wp:lineTo x="21778" y="42773"/>
                    <wp:lineTo x="21778" y="-574"/>
                    <wp:lineTo x="-178" y="-574"/>
                    <wp:lineTo x="-178" y="-574"/>
                    <wp:lineTo x="-178" y="-574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55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4860" w:type="dxa"/>
                              <w:tblInd w:w="10" w:type="dxa"/>
                              <w:tblBorders>
                                <w:top w:val="single" w:color="aaaaaa" w:sz="8" w:space="0" w:shadow="0" w:frame="0"/>
                                <w:left w:val="single" w:color="aaaaaa" w:sz="8" w:space="0" w:shadow="0" w:frame="0"/>
                                <w:bottom w:val="single" w:color="aaaaaa" w:sz="8" w:space="0" w:shadow="0" w:frame="0"/>
                                <w:right w:val="single" w:color="aaaaaa" w:sz="8" w:space="0" w:shadow="0" w:frame="0"/>
                                <w:insideH w:val="single" w:color="aaaaaa" w:sz="8" w:space="0" w:shadow="0" w:frame="0"/>
                                <w:insideV w:val="single" w:color="aaaaaa" w:sz="8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320"/>
                              <w:gridCol w:w="440"/>
                              <w:gridCol w:w="310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exact"/>
                                <w:tblHeader/>
                              </w:trPr>
                              <w:tc>
                                <w:tcPr>
                                  <w:tcW w:type="dxa" w:w="4860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  <w:tab w:val="left" w:pos="26640"/>
                                      <w:tab w:val="left" w:pos="27360"/>
                                      <w:tab w:val="left" w:pos="28080"/>
                                      <w:tab w:val="left" w:pos="28800"/>
                                      <w:tab w:val="left" w:pos="29520"/>
                                      <w:tab w:val="left" w:pos="30240"/>
                                      <w:tab w:val="left" w:pos="30960"/>
                                    </w:tabs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3"/>
                                      <w:szCs w:val="23"/>
                                      <w:u w:val="none"/>
                                      <w:vertAlign w:val="baseline"/>
                                    </w:rPr>
                                    <w:t>表1　本研究で実現方法を提案する項目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</w:tabs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カテゴリ</w:t>
                                  </w:r>
                                </w:p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</w:tabs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名称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4" w:hRule="atLeast"/>
                              </w:trPr>
                              <w:tc>
                                <w:tcPr>
                                  <w:tcW w:type="dxa" w:w="1320"/>
                                  <w:vMerge w:val="restart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</w:tabs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学習者による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情報追加</w:t>
                                  </w:r>
                                </w:p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ノートの追加，修正，削除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44" w:hRule="atLeast"/>
                              </w:trPr>
                              <w:tc>
                                <w:tcPr>
                                  <w:tcW w:type="dxa" w:w="1320"/>
                                  <w:vMerge w:val="continue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下線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ハイライトの追加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削除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vMerge w:val="continue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追加情報一覧の表示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vMerge w:val="continue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追加情報の日時保存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表示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vMerge w:val="restart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表スタイル2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  <w:tab w:val="left" w:pos="15840"/>
                                      <w:tab w:val="left" w:pos="16560"/>
                                      <w:tab w:val="left" w:pos="17280"/>
                                      <w:tab w:val="left" w:pos="18000"/>
                                      <w:tab w:val="left" w:pos="18720"/>
                                      <w:tab w:val="left" w:pos="19440"/>
                                      <w:tab w:val="left" w:pos="20160"/>
                                      <w:tab w:val="left" w:pos="20880"/>
                                      <w:tab w:val="left" w:pos="21600"/>
                                      <w:tab w:val="left" w:pos="22320"/>
                                      <w:tab w:val="left" w:pos="23040"/>
                                      <w:tab w:val="left" w:pos="23760"/>
                                      <w:tab w:val="left" w:pos="24480"/>
                                      <w:tab w:val="left" w:pos="25200"/>
                                      <w:tab w:val="left" w:pos="25920"/>
                                    </w:tabs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学習支援</w:t>
                                  </w:r>
                                </w:p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学習履歴の保存，管理，分析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31" w:hRule="atLeast"/>
                              </w:trPr>
                              <w:tc>
                                <w:tcPr>
                                  <w:tcW w:type="dxa" w:w="1320"/>
                                  <w:vMerge w:val="continue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4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3100"/>
                                  <w:tcBorders>
                                    <w:top w:val="single" w:color="aaaaaa" w:sz="8" w:space="0" w:shadow="0" w:frame="0"/>
                                    <w:left w:val="single" w:color="aaaaaa" w:sz="8" w:space="0" w:shadow="0" w:frame="0"/>
                                    <w:bottom w:val="single" w:color="aaaaaa" w:sz="8" w:space="0" w:shadow="0" w:frame="0"/>
                                    <w:right w:val="single" w:color="aaaaaa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40"/>
                                    <w:bottom w:type="dxa" w:w="40"/>
                                    <w:right w:type="dxa" w:w="4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スタイル2"/>
                                  </w:pPr>
                                  <w:r>
                                    <w:rPr>
                                      <w:rFonts w:ascii="ＭＳ Ｐゴシック" w:cs="ＭＳ Ｐゴシック" w:hAnsi="ＭＳ Ｐゴシック" w:eastAsia="ＭＳ Ｐゴシック"/>
                                    </w:rPr>
                                    <w:t>学習者名簿等のデータベース管理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1.0pt;margin-top:393.8pt;width:243.0pt;height:75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860" w:type="dxa"/>
                        <w:tblInd w:w="10" w:type="dxa"/>
                        <w:tblBorders>
                          <w:top w:val="single" w:color="aaaaaa" w:sz="8" w:space="0" w:shadow="0" w:frame="0"/>
                          <w:left w:val="single" w:color="aaaaaa" w:sz="8" w:space="0" w:shadow="0" w:frame="0"/>
                          <w:bottom w:val="single" w:color="aaaaaa" w:sz="8" w:space="0" w:shadow="0" w:frame="0"/>
                          <w:right w:val="single" w:color="aaaaaa" w:sz="8" w:space="0" w:shadow="0" w:frame="0"/>
                          <w:insideH w:val="single" w:color="aaaaaa" w:sz="8" w:space="0" w:shadow="0" w:frame="0"/>
                          <w:insideV w:val="single" w:color="aaaaaa" w:sz="8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320"/>
                        <w:gridCol w:w="440"/>
                        <w:gridCol w:w="310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exact"/>
                          <w:tblHeader/>
                        </w:trPr>
                        <w:tc>
                          <w:tcPr>
                            <w:tcW w:type="dxa" w:w="4860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  <w:tab w:val="left" w:pos="26640"/>
                                <w:tab w:val="left" w:pos="27360"/>
                                <w:tab w:val="left" w:pos="28080"/>
                                <w:tab w:val="left" w:pos="28800"/>
                                <w:tab w:val="left" w:pos="29520"/>
                                <w:tab w:val="left" w:pos="30240"/>
                                <w:tab w:val="left" w:pos="30960"/>
                              </w:tabs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3"/>
                                <w:szCs w:val="23"/>
                                <w:u w:val="none"/>
                                <w:vertAlign w:val="baseline"/>
                              </w:rPr>
                              <w:t>表1　本研究で実現方法を提案する項目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</w:tabs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カテゴリ</w:t>
                            </w:r>
                          </w:p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</w:tabs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名称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4" w:hRule="atLeast"/>
                        </w:trPr>
                        <w:tc>
                          <w:tcPr>
                            <w:tcW w:type="dxa" w:w="1320"/>
                            <w:vMerge w:val="restart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</w:tabs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学習者による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br w:type="textWrapping"/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情報追加</w:t>
                            </w:r>
                          </w:p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ノートの追加，修正，削除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44" w:hRule="atLeast"/>
                        </w:trPr>
                        <w:tc>
                          <w:tcPr>
                            <w:tcW w:type="dxa" w:w="1320"/>
                            <w:vMerge w:val="continue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下線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/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ハイライトの追加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/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削除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vMerge w:val="continue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追加情報一覧の表示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vMerge w:val="continue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追加情報の日時保存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/</w:t>
                            </w: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表示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vMerge w:val="restart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center"/>
                          </w:tcPr>
                          <w:p>
                            <w:pPr>
                              <w:pStyle w:val="表スタイル2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  <w:tab w:val="left" w:pos="15840"/>
                                <w:tab w:val="left" w:pos="16560"/>
                                <w:tab w:val="left" w:pos="17280"/>
                                <w:tab w:val="left" w:pos="18000"/>
                                <w:tab w:val="left" w:pos="18720"/>
                                <w:tab w:val="left" w:pos="19440"/>
                                <w:tab w:val="left" w:pos="20160"/>
                                <w:tab w:val="left" w:pos="20880"/>
                                <w:tab w:val="left" w:pos="21600"/>
                                <w:tab w:val="left" w:pos="22320"/>
                                <w:tab w:val="left" w:pos="23040"/>
                                <w:tab w:val="left" w:pos="23760"/>
                                <w:tab w:val="left" w:pos="24480"/>
                                <w:tab w:val="left" w:pos="25200"/>
                                <w:tab w:val="left" w:pos="25920"/>
                              </w:tabs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学習支援</w:t>
                            </w:r>
                          </w:p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学習履歴の保存，管理，分析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31" w:hRule="atLeast"/>
                        </w:trPr>
                        <w:tc>
                          <w:tcPr>
                            <w:tcW w:type="dxa" w:w="1320"/>
                            <w:vMerge w:val="continue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4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3100"/>
                            <w:tcBorders>
                              <w:top w:val="single" w:color="aaaaaa" w:sz="8" w:space="0" w:shadow="0" w:frame="0"/>
                              <w:left w:val="single" w:color="aaaaaa" w:sz="8" w:space="0" w:shadow="0" w:frame="0"/>
                              <w:bottom w:val="single" w:color="aaaaaa" w:sz="8" w:space="0" w:shadow="0" w:frame="0"/>
                              <w:right w:val="single" w:color="aaaaaa" w:sz="8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40"/>
                              <w:bottom w:type="dxa" w:w="40"/>
                              <w:right w:type="dxa" w:w="40"/>
                            </w:tcMar>
                            <w:vAlign w:val="top"/>
                          </w:tcPr>
                          <w:p>
                            <w:pPr>
                              <w:pStyle w:val="表スタイル2"/>
                            </w:pPr>
                            <w:r>
                              <w:rPr>
                                <w:rFonts w:ascii="ＭＳ Ｐゴシック" w:cs="ＭＳ Ｐゴシック" w:hAnsi="ＭＳ Ｐゴシック" w:eastAsia="ＭＳ Ｐゴシック"/>
                              </w:rPr>
                              <w:t>学習者名簿等のデータベース管理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調学習に必要な機能を追加した．追加した機能は以下の３点である．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・教科書内への情報（コメント，ハイライト）の追加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・追加した情報のサーバへ送信，他の生徒への共有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・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 xml:space="preserve"> 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追加された情報に対しての，情報の追加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List Paragraph"/>
        <w:numPr>
          <w:ilvl w:val="1"/>
          <w:numId w:val="5"/>
        </w:numPr>
        <w:tabs>
          <w:tab w:val="num" w:pos="567"/>
          <w:tab w:val="clear" w:pos="0"/>
        </w:tabs>
        <w:ind w:left="567" w:hanging="567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サーバの開発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膨大な追加情報の保存をし，リアルタイムに生徒へ配信するために，サーバは，高速であり，スケーラブルであることが求められる．従って本研究ではサーバの構築に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Node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を用いることにした．また，同様の理由により，データベースには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MongoDB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を用いることにした．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API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は，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Advanced Distributed Learning (ADL)</w:t>
      </w: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社が主導して制定を進めている規格である</w:t>
      </w:r>
      <w:r>
        <w:rPr>
          <w:rtl w:val="0"/>
          <w:lang w:val="en-US"/>
        </w:rPr>
        <w:t>TinCanAPI</w:t>
      </w:r>
      <w:r>
        <w:rPr>
          <w:rtl w:val="0"/>
          <w:lang w:val="en-US"/>
        </w:rPr>
        <w:t>を用いて設計した。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ただし，本研究に必要の無い仕様や機能については実装していない他，一部本研究に合わせて改変している箇所がある．</w:t>
      </w:r>
      <w:r>
        <w:rPr>
          <w:rtl w:val="0"/>
          <w:lang w:val="en-US"/>
        </w:rPr>
        <w:t>TinCanAPI</w:t>
      </w:r>
      <w:r>
        <w:rPr>
          <w:rtl w:val="0"/>
          <w:lang w:val="en-US"/>
        </w:rPr>
        <w:t>では基本的にユーザの学習情報を</w:t>
      </w:r>
      <w:r>
        <w:rPr>
          <w:rtl w:val="0"/>
          <w:lang w:val="en-US"/>
        </w:rPr>
        <w:t>Actor</w:t>
      </w:r>
      <w:r>
        <w:rPr>
          <w:rtl w:val="0"/>
          <w:lang w:val="en-US"/>
        </w:rPr>
        <w:t>，</w:t>
      </w:r>
      <w:r>
        <w:rPr>
          <w:rtl w:val="0"/>
          <w:lang w:val="en-US"/>
        </w:rPr>
        <w:t>Verb</w:t>
      </w:r>
      <w:r>
        <w:rPr>
          <w:rtl w:val="0"/>
          <w:lang w:val="en-US"/>
        </w:rPr>
        <w:t>，</w:t>
      </w:r>
      <w:r>
        <w:rPr>
          <w:rtl w:val="0"/>
          <w:lang w:val="en-US"/>
        </w:rPr>
        <w:t>Object</w:t>
      </w:r>
      <w:r>
        <w:rPr>
          <w:rtl w:val="0"/>
          <w:lang w:val="en-US"/>
        </w:rPr>
        <w:t>，</w:t>
      </w:r>
      <w:r>
        <w:rPr>
          <w:rtl w:val="0"/>
          <w:lang w:val="en-US"/>
        </w:rPr>
        <w:t>Result</w:t>
      </w:r>
      <w:r>
        <w:rPr>
          <w:rtl w:val="0"/>
          <w:lang w:val="en-US"/>
        </w:rPr>
        <w:t>に分けて保存する．</w:t>
      </w:r>
      <w:r>
        <w:rPr>
          <w:rtl w:val="0"/>
          <w:lang w:val="ja-JP" w:eastAsia="ja-JP"/>
        </w:rPr>
        <w:t>学習内容だけでなく</w:t>
      </w:r>
      <w:r>
        <w:rPr>
          <w:rtl w:val="0"/>
          <w:lang w:val="ja-JP" w:eastAsia="ja-JP"/>
        </w:rPr>
        <w:t>，</w:t>
      </w:r>
      <w:r>
        <w:rPr>
          <w:rtl w:val="0"/>
          <w:lang w:val="ja-JP" w:eastAsia="ja-JP"/>
        </w:rPr>
        <w:t>学習完了などのステートメントを様々なプラットフォームから送信することができる</w:t>
      </w:r>
      <w:r>
        <w:rPr>
          <w:rtl w:val="0"/>
          <w:lang w:val="ja-JP" w:eastAsia="ja-JP"/>
        </w:rPr>
        <w:t>ため，</w:t>
      </w:r>
      <w:r>
        <w:rPr>
          <w:rtl w:val="0"/>
          <w:lang w:val="ja-JP" w:eastAsia="ja-JP"/>
        </w:rPr>
        <w:t>Learning Record Store</w:t>
      </w:r>
      <w:r>
        <w:rPr>
          <w:rtl w:val="0"/>
          <w:lang w:val="ja-JP" w:eastAsia="ja-JP"/>
        </w:rPr>
        <w:t>(LRS)</w:t>
      </w:r>
      <w:r>
        <w:rPr>
          <w:rtl w:val="0"/>
          <w:lang w:val="ja-JP" w:eastAsia="ja-JP"/>
        </w:rPr>
        <w:t>として用いることができる．本研究では学習履歴の蓄積だけでなく，生徒同士での協調学習</w:t>
      </w:r>
      <w:r>
        <w:rPr>
          <w:rtl w:val="0"/>
          <w:lang w:val="ja-JP" w:eastAsia="ja-JP"/>
        </w:rPr>
        <w:t xml:space="preserve">(CSCL: </w:t>
      </w:r>
      <w:r>
        <w:rPr>
          <w:rtl w:val="0"/>
          <w:lang w:val="ja-JP" w:eastAsia="ja-JP"/>
        </w:rPr>
        <w:t>Computer Supported Collaborative Learning</w:t>
      </w:r>
      <w:r>
        <w:rPr>
          <w:rtl w:val="0"/>
          <w:lang w:val="ja-JP" w:eastAsia="ja-JP"/>
        </w:rPr>
        <w:t>)</w:t>
      </w:r>
      <w:r>
        <w:rPr>
          <w:rtl w:val="0"/>
          <w:lang w:val="ja-JP" w:eastAsia="ja-JP"/>
        </w:rPr>
        <w:t>としての役割も果たせるサーバの開発が目的であるが，これも</w:t>
      </w:r>
      <w:r>
        <w:rPr>
          <w:rtl w:val="0"/>
          <w:lang w:val="ja-JP" w:eastAsia="ja-JP"/>
        </w:rPr>
        <w:t>TinCanAPI</w:t>
      </w:r>
      <w:r>
        <w:rPr>
          <w:rtl w:val="0"/>
          <w:lang w:val="ja-JP" w:eastAsia="ja-JP"/>
        </w:rPr>
        <w:t>の仕様でカバーできる。</w:t>
      </w:r>
    </w:p>
    <w:p>
      <w:pPr>
        <w:pStyle w:val="List Paragraph"/>
        <w:numPr>
          <w:ilvl w:val="0"/>
          <w:numId w:val="7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結果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結果だよ．</w:t>
      </w:r>
    </w:p>
    <w:p>
      <w:pPr>
        <w:pStyle w:val="List Paragraph"/>
        <w:numPr>
          <w:ilvl w:val="0"/>
          <w:numId w:val="7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考察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考察考察！</w:t>
      </w:r>
    </w:p>
    <w:p>
      <w:pPr>
        <w:pStyle w:val="List Paragraph"/>
        <w:numPr>
          <w:ilvl w:val="0"/>
          <w:numId w:val="7"/>
        </w:numPr>
        <w:tabs>
          <w:tab w:val="num" w:pos="425"/>
          <w:tab w:val="clear" w:pos="0"/>
        </w:tabs>
        <w:ind w:left="425" w:hanging="425"/>
        <w:rPr>
          <w:rFonts w:ascii="Century" w:cs="Century" w:hAnsi="Century" w:eastAsia="Century"/>
          <w:color w:val="000000"/>
          <w:position w:val="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結論</w:t>
      </w:r>
    </w:p>
    <w:p>
      <w:pPr>
        <w:pStyle w:val="Normal"/>
        <w:ind w:firstLine="197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  <w:r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  <w:t>結論だよ！</w:t>
      </w:r>
    </w:p>
    <w:p>
      <w:pPr>
        <w:pStyle w:val="Normal"/>
        <w:rPr>
          <w:rFonts w:ascii="Century" w:cs="Century" w:hAnsi="Century" w:eastAsia="Century"/>
          <w:color w:val="000000"/>
          <w:u w:color="000000"/>
          <w:rtl w:val="0"/>
          <w:lang w:val="ja-JP" w:eastAsia="ja-JP"/>
        </w:rPr>
      </w:pPr>
    </w:p>
    <w:p>
      <w:pPr>
        <w:pStyle w:val="Normal"/>
        <w:rPr>
          <w:rFonts w:ascii="Arial" w:cs="Arial" w:hAnsi="Arial" w:eastAsia="Arial"/>
          <w:b w:val="1"/>
          <w:bCs w:val="1"/>
          <w:color w:val="000000"/>
          <w:u w:color="000000"/>
        </w:rPr>
      </w:pPr>
      <w:r>
        <w:rPr>
          <w:rFonts w:ascii="Arial" w:cs="Arial" w:hAnsi="Arial" w:eastAsia="Arial"/>
          <w:b w:val="1"/>
          <w:bCs w:val="1"/>
          <w:color w:val="000000"/>
          <w:u w:color="000000"/>
          <w:rtl w:val="0"/>
          <w:lang w:val="ja-JP" w:eastAsia="ja-JP"/>
        </w:rPr>
        <w:t>参考文献</w:t>
      </w:r>
    </w:p>
    <w:p>
      <w:pPr>
        <w:pStyle w:val="List Paragraph"/>
        <w:numPr>
          <w:ilvl w:val="0"/>
          <w:numId w:val="10"/>
        </w:numPr>
        <w:tabs>
          <w:tab w:val="num" w:pos="420"/>
          <w:tab w:val="clear" w:pos="0"/>
        </w:tabs>
        <w:ind w:left="420" w:hanging="42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田村研究室，</w:t>
      </w:r>
      <w:r>
        <w:rPr>
          <w:color w:val="000000"/>
          <w:u w:color="000000"/>
          <w:rtl w:val="0"/>
          <w:lang w:val="en-US"/>
        </w:rPr>
        <w:t>73_required_functions.xlsx</w:t>
      </w:r>
      <w:r>
        <w:rPr>
          <w:color w:val="000000"/>
          <w:u w:color="000000"/>
          <w:rtl w:val="0"/>
          <w:lang w:val="en-US"/>
        </w:rPr>
        <w:t>，</w:t>
      </w:r>
      <w:r>
        <w:rPr>
          <w:rtl w:val="0"/>
          <w:lang w:val="en-US"/>
        </w:rPr>
        <w:t>https://github.com/Iwark/thesis/blob/master/73_required_functions.xlsx</w:t>
      </w:r>
      <w:r>
        <w:rPr>
          <w:color w:val="000000"/>
          <w:u w:color="000000"/>
          <w:rtl w:val="0"/>
          <w:lang w:val="en-US"/>
        </w:rPr>
        <w:t xml:space="preserve"> (2014/1/16)</w:t>
      </w:r>
    </w:p>
    <w:p>
      <w:pPr>
        <w:pStyle w:val="List Paragraph"/>
        <w:numPr>
          <w:ilvl w:val="0"/>
          <w:numId w:val="10"/>
        </w:numPr>
        <w:tabs>
          <w:tab w:val="num" w:pos="420"/>
          <w:tab w:val="clear" w:pos="0"/>
        </w:tabs>
        <w:ind w:left="420" w:hanging="420"/>
        <w:rPr>
          <w:color w:val="000000"/>
          <w:position w:val="0"/>
          <w:u w:color="000000"/>
          <w:rtl w:val="0"/>
        </w:rPr>
      </w:pPr>
      <w:r>
        <w:rPr>
          <w:color w:val="000000"/>
          <w:u w:color="000000"/>
          <w:rtl w:val="0"/>
          <w:lang w:val="en-US"/>
        </w:rPr>
        <w:t>R</w:t>
      </w:r>
      <w:r>
        <w:rPr>
          <w:rtl w:val="0"/>
          <w:lang w:val="en-US"/>
        </w:rPr>
        <w:t>eadium.org</w:t>
      </w:r>
      <w:r>
        <w:rPr>
          <w:color w:val="000000"/>
          <w:u w:color="000000"/>
          <w:rtl w:val="0"/>
          <w:lang w:val="en-US"/>
        </w:rPr>
        <w:t xml:space="preserve">, readium-js-viewer, </w:t>
      </w:r>
      <w:r>
        <w:rPr>
          <w:rtl w:val="0"/>
          <w:lang w:val="en-US"/>
        </w:rPr>
        <w:t>https://github.com/readium/readium-js-viewer</w:t>
      </w:r>
      <w:r>
        <w:rPr>
          <w:color w:val="000000"/>
          <w:u w:color="000000"/>
          <w:rtl w:val="0"/>
          <w:lang w:val="en-US"/>
        </w:rPr>
        <w:t xml:space="preserve"> (2014/1/16)</w:t>
      </w:r>
    </w:p>
    <w:p>
      <w:pPr>
        <w:pStyle w:val="List Paragraph"/>
        <w:numPr>
          <w:ilvl w:val="0"/>
          <w:numId w:val="10"/>
        </w:numPr>
        <w:tabs>
          <w:tab w:val="num" w:pos="420"/>
          <w:tab w:val="clear" w:pos="0"/>
        </w:tabs>
        <w:ind w:left="420" w:hanging="420"/>
        <w:rPr>
          <w:position w:val="0"/>
        </w:rPr>
      </w:pPr>
      <w:r>
        <w:rPr>
          <w:color w:val="000000"/>
          <w:u w:color="000000"/>
          <w:rtl w:val="0"/>
          <w:lang w:val="en-US"/>
        </w:rPr>
        <w:t>岩崎</w:t>
      </w:r>
      <w:r>
        <w:rPr>
          <w:color w:val="000000"/>
          <w:u w:color="000000"/>
          <w:rtl w:val="0"/>
          <w:lang w:val="en-US"/>
        </w:rPr>
        <w:t xml:space="preserve"> </w:t>
      </w:r>
      <w:r>
        <w:rPr>
          <w:color w:val="000000"/>
          <w:u w:color="000000"/>
          <w:rtl w:val="0"/>
          <w:lang w:val="en-US"/>
        </w:rPr>
        <w:t>広平，</w:t>
      </w:r>
      <w:r>
        <w:rPr>
          <w:color w:val="000000"/>
          <w:u w:color="000000"/>
          <w:rtl w:val="0"/>
          <w:lang w:val="en-US"/>
        </w:rPr>
        <w:t xml:space="preserve">ERMap.png, </w:t>
      </w:r>
      <w:r>
        <w:rPr>
          <w:rtl w:val="0"/>
          <w:lang w:val="en-US"/>
        </w:rPr>
        <w:t>https://github.com/Iwark/thesis/blob/master/ERMap.png</w:t>
      </w:r>
      <w:r>
        <w:rPr>
          <w:color w:val="000000"/>
          <w:u w:color="000000"/>
          <w:rtl w:val="0"/>
          <w:lang w:val="en-US"/>
        </w:rPr>
        <w:t xml:space="preserve"> (2014/1/16)</w:t>
      </w:r>
    </w:p>
    <w:sectPr>
      <w:headerReference w:type="default" r:id="rId6"/>
      <w:footerReference w:type="default" r:id="rId7"/>
      <w:type w:val="continuous"/>
      <w:pgSz w:w="11900" w:h="16840" w:orient="portrait"/>
      <w:pgMar w:top="1701" w:right="1021" w:bottom="1962" w:left="1021" w:header="600" w:footer="992"/>
      <w:cols w:space="493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Century">
    <w:charset w:val="00"/>
    <w:family w:val="roman"/>
    <w:pitch w:val="default"/>
  </w:font>
  <w:font w:name="ＭＳ Ｐゴシック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ヘッダとフッタ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1.%2."/>
      <w:lvlJc w:val="left"/>
      <w:pPr/>
      <w:rPr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7">
    <w:multiLevelType w:val="multilevel"/>
    <w:styleLink w:val="List 2"/>
    <w:lvl w:ilvl="0">
      <w:start w:val="3"/>
      <w:numFmt w:val="decimal"/>
      <w:suff w:val="tab"/>
      <w:lvlText w:val="%1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1">
      <w:start w:val="1"/>
      <w:numFmt w:val="decimal"/>
      <w:suff w:val="tab"/>
      <w:lvlText w:val="%1.%2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2">
      <w:start w:val="1"/>
      <w:numFmt w:val="decimal"/>
      <w:suff w:val="tab"/>
      <w:lvlText w:val="%1.%2.%3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3">
      <w:start w:val="1"/>
      <w:numFmt w:val="decimal"/>
      <w:suff w:val="tab"/>
      <w:lvlText w:val="%1.%2.%3.%4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4">
      <w:start w:val="1"/>
      <w:numFmt w:val="decimal"/>
      <w:suff w:val="tab"/>
      <w:lvlText w:val="%1.%2.%3.%4.%5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5">
      <w:start w:val="1"/>
      <w:numFmt w:val="decimal"/>
      <w:suff w:val="tab"/>
      <w:lvlText w:val="%1.%2.%3.%4.%5.%6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6">
      <w:start w:val="1"/>
      <w:numFmt w:val="decimal"/>
      <w:suff w:val="tab"/>
      <w:lvlText w:val="%1.%2.%3.%4.%5.%6.%7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Century" w:cs="Century" w:hAnsi="Century" w:eastAsia="Century"/>
        <w:color w:val="000000"/>
        <w:position w:val="0"/>
        <w:u w:color="000000"/>
        <w:rtl w:val="0"/>
        <w:lang w:val="ja-JP" w:eastAsia="ja-JP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aiueoFullWidth"/>
      <w:suff w:val="tab"/>
      <w:lvlText w:val="(%2)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decimalEnclosedCircle"/>
      <w:suff w:val="tab"/>
      <w:lvlText w:val="%3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aiueoFullWidth"/>
      <w:suff w:val="tab"/>
      <w:lvlText w:val="(%5)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decimalEnclosedCircle"/>
      <w:suff w:val="tab"/>
      <w:lvlText w:val="%6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aiueoFullWidth"/>
      <w:suff w:val="tab"/>
      <w:lvlText w:val="(%8)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decimalEnclosedCircle"/>
      <w:suff w:val="tab"/>
      <w:lvlText w:val="%9"/>
      <w:lvlJc w:val="left"/>
      <w:pPr/>
      <w:rPr>
        <w:color w:val="000000"/>
        <w:position w:val="0"/>
        <w:u w:color="000000"/>
        <w:rtl w:val="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aiueoFullWidth"/>
      <w:suff w:val="tab"/>
      <w:lvlText w:val="(%2)"/>
      <w:lvlJc w:val="left"/>
      <w:pPr/>
      <w:rPr>
        <w:position w:val="0"/>
      </w:rPr>
    </w:lvl>
    <w:lvl w:ilvl="2">
      <w:start w:val="1"/>
      <w:numFmt w:val="decimalEnclosedCircle"/>
      <w:suff w:val="tab"/>
      <w:lvlText w:val="%3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aiueoFullWidth"/>
      <w:suff w:val="tab"/>
      <w:lvlText w:val="(%5)"/>
      <w:lvlJc w:val="left"/>
      <w:pPr/>
      <w:rPr>
        <w:position w:val="0"/>
      </w:rPr>
    </w:lvl>
    <w:lvl w:ilvl="5">
      <w:start w:val="1"/>
      <w:numFmt w:val="decimalEnclosedCircle"/>
      <w:suff w:val="tab"/>
      <w:lvlText w:val="%6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aiueoFullWidth"/>
      <w:suff w:val="tab"/>
      <w:lvlText w:val="(%8)"/>
      <w:lvlJc w:val="left"/>
      <w:pPr/>
      <w:rPr>
        <w:position w:val="0"/>
      </w:rPr>
    </w:lvl>
    <w:lvl w:ilvl="8">
      <w:start w:val="1"/>
      <w:numFmt w:val="decimalEnclosedCircle"/>
      <w:suff w:val="tab"/>
      <w:lvlText w:val="%9"/>
      <w:lvlJc w:val="left"/>
      <w:pPr/>
      <w:rPr>
        <w:position w:val="0"/>
      </w:rPr>
    </w:lvl>
  </w:abstractNum>
  <w:abstractNum w:abstractNumId="10">
    <w:multiLevelType w:val="multilevel"/>
    <w:styleLink w:val="List 3"/>
    <w:lvl w:ilvl="0">
      <w:start w:val="1"/>
      <w:numFmt w:val="decimal"/>
      <w:suff w:val="tab"/>
      <w:lvlText w:val="%1."/>
      <w:lvlJc w:val="left"/>
      <w:pPr/>
      <w:rPr>
        <w:color w:val="000000"/>
        <w:position w:val="0"/>
        <w:u w:color="000000"/>
        <w:rtl w:val="0"/>
      </w:rPr>
    </w:lvl>
    <w:lvl w:ilvl="1">
      <w:start w:val="1"/>
      <w:numFmt w:val="aiueoFullWidth"/>
      <w:suff w:val="tab"/>
      <w:lvlText w:val="(%2)"/>
      <w:lvlJc w:val="left"/>
      <w:pPr/>
      <w:rPr>
        <w:color w:val="000000"/>
        <w:position w:val="0"/>
        <w:u w:color="000000"/>
        <w:rtl w:val="0"/>
      </w:rPr>
    </w:lvl>
    <w:lvl w:ilvl="2">
      <w:start w:val="1"/>
      <w:numFmt w:val="decimalEnclosedCircle"/>
      <w:suff w:val="tab"/>
      <w:lvlText w:val="%3"/>
      <w:lvlJc w:val="left"/>
      <w:pPr/>
      <w:rPr>
        <w:color w:val="000000"/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  <w:u w:color="000000"/>
        <w:rtl w:val="0"/>
      </w:rPr>
    </w:lvl>
    <w:lvl w:ilvl="4">
      <w:start w:val="1"/>
      <w:numFmt w:val="aiueoFullWidth"/>
      <w:suff w:val="tab"/>
      <w:lvlText w:val="(%5)"/>
      <w:lvlJc w:val="left"/>
      <w:pPr/>
      <w:rPr>
        <w:color w:val="000000"/>
        <w:position w:val="0"/>
        <w:u w:color="000000"/>
        <w:rtl w:val="0"/>
      </w:rPr>
    </w:lvl>
    <w:lvl w:ilvl="5">
      <w:start w:val="1"/>
      <w:numFmt w:val="decimalEnclosedCircle"/>
      <w:suff w:val="tab"/>
      <w:lvlText w:val="%6"/>
      <w:lvlJc w:val="left"/>
      <w:pPr/>
      <w:rPr>
        <w:color w:val="000000"/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  <w:u w:color="000000"/>
        <w:rtl w:val="0"/>
      </w:rPr>
    </w:lvl>
    <w:lvl w:ilvl="7">
      <w:start w:val="1"/>
      <w:numFmt w:val="aiueoFullWidth"/>
      <w:suff w:val="tab"/>
      <w:lvlText w:val="(%8)"/>
      <w:lvlJc w:val="left"/>
      <w:pPr/>
      <w:rPr>
        <w:color w:val="000000"/>
        <w:position w:val="0"/>
        <w:u w:color="000000"/>
        <w:rtl w:val="0"/>
      </w:rPr>
    </w:lvl>
    <w:lvl w:ilvl="8">
      <w:start w:val="1"/>
      <w:numFmt w:val="decimalEnclosedCircle"/>
      <w:suff w:val="tab"/>
      <w:lvlText w:val="%9"/>
      <w:lvlJc w:val="left"/>
      <w:pPr/>
      <w:rPr>
        <w:color w:val="000000"/>
        <w:position w:val="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84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読み込んだスタイル 1"/>
    <w:next w:val="List 0"/>
    <w:pPr>
      <w:numPr>
        <w:numId w:val="1"/>
      </w:numPr>
    </w:pPr>
  </w:style>
  <w:style w:type="numbering" w:styleId="読み込んだスタイル 1">
    <w:name w:val="読み込んだスタイル 1"/>
    <w:next w:val="読み込んだスタイル 1"/>
    <w:pPr>
      <w:numPr>
        <w:numId w:val="2"/>
      </w:numPr>
    </w:pPr>
  </w:style>
  <w:style w:type="numbering" w:styleId="List 1">
    <w:name w:val="List 1"/>
    <w:basedOn w:val="読み込んだスタイル 1"/>
    <w:next w:val="List 1"/>
    <w:pPr>
      <w:numPr>
        <w:numId w:val="4"/>
      </w:numPr>
    </w:pPr>
  </w:style>
  <w:style w:type="numbering" w:styleId="List 2">
    <w:name w:val="List 2"/>
    <w:basedOn w:val="読み込んだスタイル 1"/>
    <w:next w:val="List 2"/>
    <w:pPr>
      <w:numPr>
        <w:numId w:val="6"/>
      </w:numPr>
    </w:pPr>
  </w:style>
  <w:style w:type="paragraph" w:styleId="表スタイル2">
    <w:name w:val="表スタイル2"/>
    <w:next w:val="表スタイル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ヒラギノ角ゴ ProN W3" w:hAnsi="ヒラギノ角ゴ ProN W3" w:eastAsia="ヒラギノ角ゴ ProN W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List 3">
    <w:name w:val="List 3"/>
    <w:basedOn w:val="読み込んだスタイル 2"/>
    <w:next w:val="List 3"/>
    <w:pPr>
      <w:numPr>
        <w:numId w:val="8"/>
      </w:numPr>
    </w:pPr>
  </w:style>
  <w:style w:type="numbering" w:styleId="読み込んだスタイル 2">
    <w:name w:val="読み込んだスタイル 2"/>
    <w:next w:val="読み込んだスタイル 2"/>
    <w:pPr>
      <w:numPr>
        <w:numId w:val="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