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1B2" w:rsidRPr="00093C71" w:rsidRDefault="00093C71">
      <w:pPr>
        <w:pStyle w:val="Subtitle"/>
        <w:rPr>
          <w:color w:val="auto"/>
          <w:lang w:val="en-SG"/>
        </w:rPr>
      </w:pPr>
      <w:r w:rsidRPr="00093C71">
        <w:rPr>
          <w:rFonts w:ascii="Helvetica Neue" w:hAnsi="Helvetica Neue" w:cs="Helvetica Neue"/>
          <w:color w:val="auto"/>
          <w:szCs w:val="32"/>
          <w:lang w:val="en-GB"/>
        </w:rPr>
        <w:t>Epidemic Preparedness and Response (PREPARE)</w:t>
      </w:r>
    </w:p>
    <w:p w:rsidR="00F251B2" w:rsidRDefault="00093C71">
      <w:pPr>
        <w:pStyle w:val="Title"/>
      </w:pPr>
      <w:r>
        <w:t>Malaria Report Task</w:t>
      </w:r>
    </w:p>
    <w:p w:rsidR="00F251B2" w:rsidRDefault="00093C71">
      <w:pPr>
        <w:pStyle w:val="Author"/>
      </w:pPr>
      <w:r>
        <w:t>Wilson Lim</w:t>
      </w:r>
    </w:p>
    <w:p w:rsidR="00F251B2" w:rsidRDefault="00093C71">
      <w:r>
        <w:rPr>
          <w:noProof/>
        </w:rPr>
        <w:drawing>
          <wp:inline distT="0" distB="0" distL="0" distR="0" wp14:anchorId="319518C9" wp14:editId="3FE4B5CE">
            <wp:extent cx="5860415" cy="4966335"/>
            <wp:effectExtent l="0" t="0" r="0" b="0"/>
            <wp:docPr id="1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6 at 10.09.5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2" w:rsidRDefault="00093C71">
      <w:pPr>
        <w:pStyle w:val="Heading1"/>
        <w:pBdr>
          <w:bottom w:val="single" w:sz="6" w:space="1" w:color="auto"/>
        </w:pBdr>
      </w:pPr>
      <w:r>
        <w:t>Background</w:t>
      </w:r>
    </w:p>
    <w:p w:rsidR="00F251B2" w:rsidRDefault="00093C71">
      <w:r>
        <w:t xml:space="preserve">Globally, </w:t>
      </w:r>
      <w:r w:rsidRPr="00093C71">
        <w:t xml:space="preserve">Malaria remains a major public health concern in many parts of the world, particularly in </w:t>
      </w:r>
      <w:r>
        <w:t xml:space="preserve">the region of </w:t>
      </w:r>
      <w:r w:rsidRPr="00093C71">
        <w:t>Africa.</w:t>
      </w:r>
      <w:r>
        <w:t xml:space="preserve"> It is an ongoing fight to try to keep Malaria at bay in mostly underdeveloped regions of the world. </w:t>
      </w:r>
      <w:r w:rsidR="00DD533E">
        <w:t xml:space="preserve">The findings below will be focusing mainly on the African region. </w:t>
      </w:r>
    </w:p>
    <w:p w:rsidR="00F251B2" w:rsidRDefault="00F251B2" w:rsidP="00093C71">
      <w:pPr>
        <w:pStyle w:val="ListBullet"/>
        <w:numPr>
          <w:ilvl w:val="0"/>
          <w:numId w:val="0"/>
        </w:numPr>
      </w:pPr>
    </w:p>
    <w:p w:rsidR="00F251B2" w:rsidRDefault="00093C71" w:rsidP="00093C71">
      <w:pPr>
        <w:pStyle w:val="Heading1"/>
        <w:pBdr>
          <w:bottom w:val="single" w:sz="6" w:space="1" w:color="auto"/>
        </w:pBdr>
      </w:pPr>
      <w:r>
        <w:lastRenderedPageBreak/>
        <w:t>Executive Summary</w:t>
      </w:r>
    </w:p>
    <w:p w:rsidR="00093C71" w:rsidRDefault="00093C71" w:rsidP="00093C71">
      <w:pPr>
        <w:pStyle w:val="Heading2"/>
      </w:pPr>
      <w:r>
        <w:t>Content</w:t>
      </w:r>
    </w:p>
    <w:p w:rsidR="00093C71" w:rsidRDefault="00093C71" w:rsidP="00093C71">
      <w:pPr>
        <w:pStyle w:val="ListParagraph"/>
        <w:numPr>
          <w:ilvl w:val="0"/>
          <w:numId w:val="17"/>
        </w:numPr>
      </w:pPr>
      <w:r>
        <w:t>Dataset</w:t>
      </w:r>
      <w:r w:rsidR="00D1606B">
        <w:t>/Tableau analysis</w:t>
      </w:r>
    </w:p>
    <w:p w:rsidR="00093C71" w:rsidRDefault="00093C71" w:rsidP="00093C71">
      <w:pPr>
        <w:pStyle w:val="ListParagraph"/>
        <w:numPr>
          <w:ilvl w:val="0"/>
          <w:numId w:val="17"/>
        </w:numPr>
      </w:pPr>
      <w:r>
        <w:t>Findings</w:t>
      </w:r>
    </w:p>
    <w:p w:rsidR="00093C71" w:rsidRDefault="00093C71" w:rsidP="00093C71">
      <w:pPr>
        <w:pStyle w:val="ListParagraph"/>
        <w:numPr>
          <w:ilvl w:val="0"/>
          <w:numId w:val="17"/>
        </w:numPr>
      </w:pPr>
      <w:r>
        <w:t>Conclusion</w:t>
      </w:r>
    </w:p>
    <w:p w:rsidR="00093C71" w:rsidRDefault="00093C71" w:rsidP="00093C71">
      <w:pPr>
        <w:pStyle w:val="Heading1"/>
        <w:pBdr>
          <w:bottom w:val="single" w:sz="6" w:space="1" w:color="auto"/>
        </w:pBdr>
      </w:pPr>
      <w:r>
        <w:t>Dataset</w:t>
      </w:r>
      <w:r w:rsidR="00D1606B">
        <w:t>/Tableau Analysis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822"/>
      </w:tblGrid>
      <w:tr w:rsidR="00093C71" w:rsidTr="0009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3C71" w:rsidRDefault="00093C71" w:rsidP="00093C71">
            <w:r>
              <w:t>No.</w:t>
            </w:r>
          </w:p>
        </w:tc>
        <w:tc>
          <w:tcPr>
            <w:tcW w:w="2551" w:type="dxa"/>
          </w:tcPr>
          <w:p w:rsidR="00093C71" w:rsidRDefault="00093C71" w:rsidP="00093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</w:t>
            </w:r>
          </w:p>
        </w:tc>
        <w:tc>
          <w:tcPr>
            <w:tcW w:w="5822" w:type="dxa"/>
          </w:tcPr>
          <w:p w:rsidR="00093C71" w:rsidRDefault="00093C71" w:rsidP="00093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C71" w:rsidTr="00093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3C71" w:rsidRDefault="00093C71" w:rsidP="00093C71">
            <w:r>
              <w:t>1.</w:t>
            </w:r>
          </w:p>
        </w:tc>
        <w:tc>
          <w:tcPr>
            <w:tcW w:w="2551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TOTAL_CASES</w:t>
            </w:r>
          </w:p>
        </w:tc>
        <w:tc>
          <w:tcPr>
            <w:tcW w:w="5822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C71">
              <w:t>Number of malaria cases</w:t>
            </w:r>
          </w:p>
        </w:tc>
      </w:tr>
      <w:tr w:rsidR="00093C71" w:rsidTr="00093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3C71" w:rsidRDefault="00093C71" w:rsidP="00093C71">
            <w:r>
              <w:t>2.</w:t>
            </w:r>
          </w:p>
        </w:tc>
        <w:tc>
          <w:tcPr>
            <w:tcW w:w="2551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EST_INCIDENCE</w:t>
            </w:r>
          </w:p>
        </w:tc>
        <w:tc>
          <w:tcPr>
            <w:tcW w:w="5822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093C71">
              <w:t>stimated malaria incidence (per 1000 population at risk)</w:t>
            </w:r>
          </w:p>
        </w:tc>
      </w:tr>
      <w:tr w:rsidR="00093C71" w:rsidTr="00093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3C71" w:rsidRDefault="00093C71" w:rsidP="00093C71">
            <w:r>
              <w:t>3.</w:t>
            </w:r>
          </w:p>
        </w:tc>
        <w:tc>
          <w:tcPr>
            <w:tcW w:w="2551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EST_MORTALITY</w:t>
            </w:r>
          </w:p>
        </w:tc>
        <w:tc>
          <w:tcPr>
            <w:tcW w:w="5822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C71">
              <w:t>Estimated malaria mortality rate (per 100,000 population)</w:t>
            </w:r>
          </w:p>
        </w:tc>
      </w:tr>
      <w:tr w:rsidR="00093C71" w:rsidTr="00093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3C71" w:rsidRDefault="00093C71" w:rsidP="00093C71">
            <w:r>
              <w:t>5.</w:t>
            </w:r>
          </w:p>
        </w:tc>
        <w:tc>
          <w:tcPr>
            <w:tcW w:w="2551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ITN_COVERAGE</w:t>
            </w:r>
          </w:p>
        </w:tc>
        <w:tc>
          <w:tcPr>
            <w:tcW w:w="5822" w:type="dxa"/>
          </w:tcPr>
          <w:p w:rsidR="00093C71" w:rsidRDefault="00093C71" w:rsidP="00093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C71">
              <w:t>Population with access to an insecticide-treated bed net (ITN) for malaria protection (%)</w:t>
            </w:r>
          </w:p>
        </w:tc>
      </w:tr>
    </w:tbl>
    <w:p w:rsidR="00D1606B" w:rsidRPr="00093C71" w:rsidRDefault="00D1606B" w:rsidP="00093C71">
      <w:r>
        <w:t xml:space="preserve">Tableau link – </w:t>
      </w:r>
      <w:hyperlink r:id="rId8" w:history="1">
        <w:r w:rsidRPr="00D1606B">
          <w:rPr>
            <w:rStyle w:val="Hyperlink"/>
          </w:rPr>
          <w:t>Malaria Analysis</w:t>
        </w:r>
      </w:hyperlink>
    </w:p>
    <w:p w:rsidR="00093C71" w:rsidRDefault="00093C71" w:rsidP="00093C71">
      <w:pPr>
        <w:pStyle w:val="Heading1"/>
        <w:pBdr>
          <w:bottom w:val="single" w:sz="6" w:space="1" w:color="auto"/>
        </w:pBdr>
      </w:pPr>
      <w:r>
        <w:t>Findings</w:t>
      </w:r>
    </w:p>
    <w:p w:rsidR="00F251B2" w:rsidRDefault="00093C71" w:rsidP="00093C71">
      <w:pPr>
        <w:pStyle w:val="Heading3"/>
        <w:numPr>
          <w:ilvl w:val="0"/>
          <w:numId w:val="19"/>
        </w:numPr>
      </w:pPr>
      <w:r>
        <w:t>Finding 1 – African region has the highest number of Malaria cases</w:t>
      </w:r>
    </w:p>
    <w:p w:rsidR="00093C71" w:rsidRDefault="00093C71" w:rsidP="00093C71">
      <w:pPr>
        <w:rPr>
          <w:lang w:val="en-SG"/>
        </w:rPr>
      </w:pPr>
      <w:r>
        <w:rPr>
          <w:lang w:val="en-SG"/>
        </w:rPr>
        <w:t>T</w:t>
      </w:r>
      <w:r w:rsidRPr="00093C71">
        <w:rPr>
          <w:lang w:val="en-SG"/>
        </w:rPr>
        <w:t>he African region accounts for the highest number of malaria cases, with the top three countries with the highest number of cases located in Africa.</w:t>
      </w:r>
    </w:p>
    <w:p w:rsidR="00093C71" w:rsidRDefault="00093C71" w:rsidP="00093C71">
      <w:pPr>
        <w:rPr>
          <w:lang w:val="en-SG"/>
        </w:rPr>
      </w:pPr>
      <w:r>
        <w:rPr>
          <w:lang w:val="en-SG"/>
        </w:rPr>
        <w:t>The top 3 African nations, ranked in their respective positions, are:</w:t>
      </w:r>
    </w:p>
    <w:p w:rsidR="00093C71" w:rsidRDefault="00093C71" w:rsidP="00093C71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Nigeria</w:t>
      </w:r>
    </w:p>
    <w:p w:rsidR="00093C71" w:rsidRDefault="00093C71" w:rsidP="00093C71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Democratic Republic of Congo</w:t>
      </w:r>
    </w:p>
    <w:p w:rsidR="00093C71" w:rsidRDefault="00093C71" w:rsidP="00093C71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Uganda</w:t>
      </w:r>
    </w:p>
    <w:p w:rsidR="00093C71" w:rsidRDefault="00093C71" w:rsidP="00093C71">
      <w:pPr>
        <w:rPr>
          <w:lang w:val="en-SG"/>
        </w:rPr>
      </w:pPr>
    </w:p>
    <w:p w:rsidR="00093C71" w:rsidRDefault="00093C71" w:rsidP="00093C71">
      <w:pPr>
        <w:rPr>
          <w:lang w:val="en-SG"/>
        </w:rPr>
      </w:pPr>
    </w:p>
    <w:p w:rsidR="00093C71" w:rsidRDefault="00093C71" w:rsidP="00093C71">
      <w:pPr>
        <w:rPr>
          <w:lang w:val="en-SG"/>
        </w:rPr>
      </w:pPr>
    </w:p>
    <w:p w:rsidR="00093C71" w:rsidRDefault="00093C71" w:rsidP="00093C71">
      <w:pPr>
        <w:rPr>
          <w:lang w:val="en-SG"/>
        </w:rPr>
      </w:pPr>
    </w:p>
    <w:p w:rsidR="00A02E2A" w:rsidRDefault="00A02E2A" w:rsidP="00093C71">
      <w:pPr>
        <w:rPr>
          <w:lang w:val="en-SG"/>
        </w:rPr>
      </w:pPr>
    </w:p>
    <w:p w:rsidR="00A02E2A" w:rsidRDefault="00A02E2A" w:rsidP="00093C71">
      <w:pPr>
        <w:rPr>
          <w:lang w:val="en-SG"/>
        </w:rPr>
      </w:pPr>
    </w:p>
    <w:p w:rsidR="00093C71" w:rsidRDefault="00093C71" w:rsidP="00093C71">
      <w:pPr>
        <w:rPr>
          <w:lang w:val="en-SG"/>
        </w:rPr>
      </w:pPr>
      <w:r>
        <w:rPr>
          <w:lang w:val="en-SG"/>
        </w:rPr>
        <w:t>Figure 1</w:t>
      </w:r>
      <w:r w:rsidR="00A02E2A">
        <w:rPr>
          <w:lang w:val="en-SG"/>
        </w:rPr>
        <w:t xml:space="preserve"> – Top 5 countries total cases</w:t>
      </w:r>
    </w:p>
    <w:p w:rsidR="00A02E2A" w:rsidRDefault="00A02E2A" w:rsidP="00093C71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>
            <wp:extent cx="2887143" cy="5044984"/>
            <wp:effectExtent l="0" t="0" r="0" b="0"/>
            <wp:docPr id="10" name="Picture 10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06 at 4.38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12" cy="50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A" w:rsidRDefault="00A02E2A" w:rsidP="00093C71">
      <w:pPr>
        <w:rPr>
          <w:lang w:val="en-SG"/>
        </w:rPr>
      </w:pPr>
    </w:p>
    <w:p w:rsidR="00093C71" w:rsidRDefault="00093C71" w:rsidP="00483937">
      <w:pPr>
        <w:pStyle w:val="Heading3"/>
        <w:numPr>
          <w:ilvl w:val="0"/>
          <w:numId w:val="20"/>
        </w:numPr>
        <w:rPr>
          <w:lang w:val="en-SG"/>
        </w:rPr>
      </w:pPr>
      <w:r>
        <w:rPr>
          <w:lang w:val="en-SG"/>
        </w:rPr>
        <w:t xml:space="preserve">Finding 2 – Mortality rate had significantly decreased in </w:t>
      </w:r>
      <w:r w:rsidR="00A02E2A">
        <w:rPr>
          <w:lang w:val="en-SG"/>
        </w:rPr>
        <w:t xml:space="preserve">the </w:t>
      </w:r>
      <w:r>
        <w:rPr>
          <w:lang w:val="en-SG"/>
        </w:rPr>
        <w:t>African region since 2010</w:t>
      </w:r>
    </w:p>
    <w:p w:rsidR="00093C71" w:rsidRPr="00093C71" w:rsidRDefault="00093C71" w:rsidP="00093C71">
      <w:pPr>
        <w:rPr>
          <w:lang w:val="en-SG"/>
        </w:rPr>
      </w:pPr>
      <w:r>
        <w:rPr>
          <w:lang w:val="en-SG"/>
        </w:rPr>
        <w:t>Based on 2010 to 2020 mortality rate data, the mortality rate in the African region shows a significant downwards trend since 2010</w:t>
      </w:r>
      <w:r w:rsidR="00A02E2A">
        <w:rPr>
          <w:lang w:val="en-SG"/>
        </w:rPr>
        <w:t>, even with an increase in total cases from 2015 onwards, mortality rate remains resiliency.</w:t>
      </w:r>
      <w:r>
        <w:rPr>
          <w:lang w:val="en-SG"/>
        </w:rPr>
        <w:t xml:space="preserve">  It </w:t>
      </w:r>
      <w:r w:rsidRPr="00093C71">
        <w:rPr>
          <w:lang w:val="en-SG"/>
        </w:rPr>
        <w:t>can be attributed to several factors, including increased access of insecticide-treated bed nets (ITNs) for malaria prevention, and improvements in health infrastructure and disease surveillance.</w:t>
      </w:r>
    </w:p>
    <w:p w:rsidR="00A02E2A" w:rsidRDefault="00093C71" w:rsidP="00093C71">
      <w:pPr>
        <w:rPr>
          <w:lang w:val="en-SG"/>
        </w:rPr>
      </w:pPr>
      <w:r>
        <w:rPr>
          <w:lang w:val="en-SG"/>
        </w:rPr>
        <w:t xml:space="preserve"> </w:t>
      </w:r>
    </w:p>
    <w:p w:rsidR="00A02E2A" w:rsidRDefault="00A02E2A" w:rsidP="00093C71">
      <w:pPr>
        <w:rPr>
          <w:lang w:val="en-SG"/>
        </w:rPr>
      </w:pPr>
    </w:p>
    <w:p w:rsidR="00A02E2A" w:rsidRDefault="00A02E2A" w:rsidP="00093C71">
      <w:pPr>
        <w:rPr>
          <w:lang w:val="en-SG"/>
        </w:rPr>
      </w:pPr>
    </w:p>
    <w:p w:rsidR="00A02E2A" w:rsidRDefault="00A02E2A" w:rsidP="00093C71">
      <w:pPr>
        <w:rPr>
          <w:lang w:val="en-SG"/>
        </w:rPr>
      </w:pPr>
    </w:p>
    <w:p w:rsidR="00A02E2A" w:rsidRPr="00A02E2A" w:rsidRDefault="00093C71" w:rsidP="00093C71">
      <w:r>
        <w:rPr>
          <w:lang w:val="en-SG"/>
        </w:rPr>
        <w:t>F</w:t>
      </w:r>
      <w:proofErr w:type="spellStart"/>
      <w:r w:rsidRPr="00093C71">
        <w:t>igure</w:t>
      </w:r>
      <w:proofErr w:type="spellEnd"/>
      <w:r w:rsidRPr="00093C71">
        <w:t xml:space="preserve"> </w:t>
      </w:r>
      <w:r>
        <w:t xml:space="preserve">2 – </w:t>
      </w:r>
      <w:r w:rsidR="00A02E2A">
        <w:t>Nigeria</w:t>
      </w:r>
      <w:r>
        <w:t xml:space="preserve"> Mortality Rate</w:t>
      </w:r>
    </w:p>
    <w:p w:rsidR="00093C71" w:rsidRDefault="00093C71" w:rsidP="00093C71">
      <w:pPr>
        <w:pStyle w:val="Heading3"/>
        <w:rPr>
          <w:lang w:val="en-SG"/>
        </w:rPr>
      </w:pPr>
      <w:r>
        <w:rPr>
          <w:noProof/>
          <w:lang w:val="en-SG"/>
        </w:rPr>
        <w:drawing>
          <wp:inline distT="0" distB="0" distL="0" distR="0">
            <wp:extent cx="5974280" cy="2294165"/>
            <wp:effectExtent l="0" t="0" r="0" b="5080"/>
            <wp:docPr id="6" name="Picture 6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06 at 10.45.5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82" cy="23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A" w:rsidRDefault="00A02E2A" w:rsidP="00A02E2A">
      <w:pPr>
        <w:rPr>
          <w:noProof/>
          <w:lang w:val="en-SG"/>
        </w:rPr>
      </w:pPr>
      <w:r>
        <w:rPr>
          <w:lang w:val="en-SG"/>
        </w:rPr>
        <w:t xml:space="preserve">Figure 3 </w:t>
      </w:r>
      <w:r>
        <w:rPr>
          <w:lang w:val="en-SG"/>
        </w:rPr>
        <w:t xml:space="preserve">– </w:t>
      </w:r>
      <w:r w:rsidRPr="00A02E2A">
        <w:rPr>
          <w:lang w:val="en-SG"/>
        </w:rPr>
        <w:t>Democratic Republic of Congo</w:t>
      </w:r>
      <w:r>
        <w:rPr>
          <w:lang w:val="en-SG"/>
        </w:rPr>
        <w:t xml:space="preserve"> Mortality Rate</w:t>
      </w:r>
      <w:r>
        <w:rPr>
          <w:noProof/>
          <w:lang w:val="en-SG"/>
        </w:rPr>
        <w:t xml:space="preserve"> </w:t>
      </w:r>
      <w:r>
        <w:rPr>
          <w:noProof/>
          <w:lang w:val="en-SG"/>
        </w:rPr>
        <w:drawing>
          <wp:inline distT="0" distB="0" distL="0" distR="0">
            <wp:extent cx="5860415" cy="2473778"/>
            <wp:effectExtent l="0" t="0" r="0" b="3175"/>
            <wp:docPr id="8" name="Picture 8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06 at 4.30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59" cy="24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A" w:rsidRPr="00A02E2A" w:rsidRDefault="00A02E2A" w:rsidP="00A02E2A">
      <w:pPr>
        <w:rPr>
          <w:lang w:val="en-SG"/>
        </w:rPr>
      </w:pPr>
      <w:r>
        <w:rPr>
          <w:noProof/>
          <w:lang w:val="en-SG"/>
        </w:rPr>
        <w:t xml:space="preserve">Figure 4 – Uganda </w:t>
      </w:r>
      <w:r>
        <w:rPr>
          <w:noProof/>
          <w:lang w:val="en-SG"/>
        </w:rPr>
        <w:t>Mortality Rate</w:t>
      </w:r>
    </w:p>
    <w:p w:rsidR="00A02E2A" w:rsidRDefault="00A02E2A" w:rsidP="00A02E2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>
            <wp:extent cx="5860415" cy="2400300"/>
            <wp:effectExtent l="0" t="0" r="0" b="0"/>
            <wp:docPr id="9" name="Picture 9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5-06 at 4.32.2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11" cy="24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A" w:rsidRDefault="00A02E2A" w:rsidP="00483937">
      <w:pPr>
        <w:pStyle w:val="Heading3"/>
        <w:numPr>
          <w:ilvl w:val="0"/>
          <w:numId w:val="2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lang w:val="en-SG"/>
        </w:rPr>
        <w:t xml:space="preserve">Finding 3 – ITN plays a major role in keeping the </w:t>
      </w:r>
      <w:r>
        <w:t>e</w:t>
      </w:r>
      <w:r w:rsidRPr="00093C71">
        <w:t>stimated malaria incidence (per 1000 population at risk)</w:t>
      </w:r>
      <w:r>
        <w:t xml:space="preserve"> at lower figures</w:t>
      </w:r>
    </w:p>
    <w:p w:rsidR="00A02E2A" w:rsidRDefault="00A02E2A" w:rsidP="00A02E2A">
      <w:pPr>
        <w:pStyle w:val="Heading3"/>
        <w:rPr>
          <w:rFonts w:asciiTheme="minorHAnsi" w:eastAsiaTheme="minorHAnsi" w:hAnsiTheme="minorHAnsi" w:cstheme="minorBidi"/>
          <w:sz w:val="24"/>
        </w:rPr>
      </w:pPr>
      <w:r w:rsidRPr="00A02E2A">
        <w:rPr>
          <w:rFonts w:asciiTheme="minorHAnsi" w:eastAsiaTheme="minorHAnsi" w:hAnsiTheme="minorHAnsi" w:cstheme="minorBidi"/>
          <w:sz w:val="24"/>
        </w:rPr>
        <w:t>African nations, including Kenya and Ghana, have a relatively high percentage of their population with access to insecticide-treated bed nets, which is associated with lower estimated incidence rates of malaria (per 1000 population at risk).</w:t>
      </w:r>
      <w:r>
        <w:rPr>
          <w:rFonts w:asciiTheme="minorHAnsi" w:eastAsiaTheme="minorHAnsi" w:hAnsiTheme="minorHAnsi" w:cstheme="minorBidi"/>
          <w:sz w:val="24"/>
        </w:rPr>
        <w:t xml:space="preserve"> </w:t>
      </w:r>
    </w:p>
    <w:p w:rsidR="00A02E2A" w:rsidRPr="00A02E2A" w:rsidRDefault="00A02E2A" w:rsidP="00A02E2A">
      <w:r>
        <w:t>Figure 5 – Ghana ITN coverage (%)</w:t>
      </w:r>
    </w:p>
    <w:p w:rsidR="00D1606B" w:rsidRDefault="00A02E2A" w:rsidP="00A02E2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>
            <wp:extent cx="5860415" cy="2277836"/>
            <wp:effectExtent l="0" t="0" r="0" b="0"/>
            <wp:docPr id="11" name="Picture 1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5-06 at 4.55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39" cy="2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A" w:rsidRDefault="00A02E2A" w:rsidP="00A02E2A">
      <w:pPr>
        <w:rPr>
          <w:lang w:val="en-SG"/>
        </w:rPr>
      </w:pPr>
      <w:r>
        <w:rPr>
          <w:lang w:val="en-SG"/>
        </w:rPr>
        <w:t>Figure 6 – Kenya ITN coverage (%)</w:t>
      </w:r>
    </w:p>
    <w:p w:rsidR="00A02E2A" w:rsidRDefault="00A02E2A" w:rsidP="00A02E2A">
      <w:pPr>
        <w:rPr>
          <w:noProof/>
          <w:lang w:val="en-SG"/>
        </w:rPr>
      </w:pPr>
      <w:r>
        <w:rPr>
          <w:noProof/>
          <w:lang w:val="en-SG"/>
        </w:rPr>
        <w:drawing>
          <wp:inline distT="0" distB="0" distL="0" distR="0">
            <wp:extent cx="5860415" cy="2171700"/>
            <wp:effectExtent l="0" t="0" r="0" b="0"/>
            <wp:docPr id="12" name="Picture 12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5-06 at 4.57.2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95" cy="21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3E" w:rsidRDefault="00DD533E" w:rsidP="00DD533E">
      <w:pPr>
        <w:pStyle w:val="Heading1"/>
        <w:pBdr>
          <w:bottom w:val="single" w:sz="6" w:space="1" w:color="auto"/>
        </w:pBdr>
        <w:rPr>
          <w:lang w:val="en-SG"/>
        </w:rPr>
      </w:pPr>
      <w:r>
        <w:rPr>
          <w:lang w:val="en-SG"/>
        </w:rPr>
        <w:t>Conclusion</w:t>
      </w:r>
    </w:p>
    <w:p w:rsidR="00A02E2A" w:rsidRPr="00A02E2A" w:rsidRDefault="00DD533E" w:rsidP="00A02E2A">
      <w:pPr>
        <w:rPr>
          <w:lang w:val="en-SG"/>
        </w:rPr>
      </w:pPr>
      <w:r w:rsidRPr="00DD533E">
        <w:rPr>
          <w:lang w:val="en-SG"/>
        </w:rPr>
        <w:t>The provided dataset suggests that underdeveloped nations, particularly the African region, continue to face significant challenges in controlling malaria, with a notable increase in total cases since 2015. Although the data shows that insecticide-treated bed nets are effective in preventing malaria, more data is needed to further demonstrate their effectiveness, given the limited data period of 2018 to 2020.</w:t>
      </w:r>
    </w:p>
    <w:sectPr w:rsidR="00A02E2A" w:rsidRPr="00A02E2A">
      <w:footerReference w:type="default" r:id="rId15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4DCE" w:rsidRDefault="00F54DCE">
      <w:pPr>
        <w:spacing w:after="0" w:line="240" w:lineRule="auto"/>
      </w:pPr>
      <w:r>
        <w:separator/>
      </w:r>
    </w:p>
    <w:p w:rsidR="00F54DCE" w:rsidRDefault="00F54DCE"/>
    <w:p w:rsidR="00F54DCE" w:rsidRDefault="00F54DCE"/>
  </w:endnote>
  <w:endnote w:type="continuationSeparator" w:id="0">
    <w:p w:rsidR="00F54DCE" w:rsidRDefault="00F54DCE">
      <w:pPr>
        <w:spacing w:after="0" w:line="240" w:lineRule="auto"/>
      </w:pPr>
      <w:r>
        <w:continuationSeparator/>
      </w:r>
    </w:p>
    <w:p w:rsidR="00F54DCE" w:rsidRDefault="00F54DCE"/>
    <w:p w:rsidR="00F54DCE" w:rsidRDefault="00F54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4DCE" w:rsidRDefault="00F54DCE">
      <w:pPr>
        <w:spacing w:after="0" w:line="240" w:lineRule="auto"/>
      </w:pPr>
      <w:r>
        <w:separator/>
      </w:r>
    </w:p>
    <w:p w:rsidR="00F54DCE" w:rsidRDefault="00F54DCE"/>
    <w:p w:rsidR="00F54DCE" w:rsidRDefault="00F54DCE"/>
  </w:footnote>
  <w:footnote w:type="continuationSeparator" w:id="0">
    <w:p w:rsidR="00F54DCE" w:rsidRDefault="00F54DCE">
      <w:pPr>
        <w:spacing w:after="0" w:line="240" w:lineRule="auto"/>
      </w:pPr>
      <w:r>
        <w:continuationSeparator/>
      </w:r>
    </w:p>
    <w:p w:rsidR="00F54DCE" w:rsidRDefault="00F54DCE"/>
    <w:p w:rsidR="00F54DCE" w:rsidRDefault="00F54D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C03F6"/>
    <w:multiLevelType w:val="hybridMultilevel"/>
    <w:tmpl w:val="5A445E3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1C0"/>
    <w:multiLevelType w:val="hybridMultilevel"/>
    <w:tmpl w:val="2E3AF07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87A64"/>
    <w:multiLevelType w:val="hybridMultilevel"/>
    <w:tmpl w:val="65AAC90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E0541"/>
    <w:multiLevelType w:val="hybridMultilevel"/>
    <w:tmpl w:val="5DA0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C13F5"/>
    <w:multiLevelType w:val="hybridMultilevel"/>
    <w:tmpl w:val="C8B6A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6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4"/>
  </w:num>
  <w:num w:numId="18">
    <w:abstractNumId w:val="17"/>
  </w:num>
  <w:num w:numId="19">
    <w:abstractNumId w:val="1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1"/>
    <w:rsid w:val="00093C71"/>
    <w:rsid w:val="001D1FD5"/>
    <w:rsid w:val="00483937"/>
    <w:rsid w:val="00A02E2A"/>
    <w:rsid w:val="00D1606B"/>
    <w:rsid w:val="00DD533E"/>
    <w:rsid w:val="00F251B2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9455"/>
  <w15:chartTrackingRefBased/>
  <w15:docId w15:val="{70757979-87C4-7243-880A-77E5E581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093C7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093C71"/>
    <w:pPr>
      <w:spacing w:after="0" w:line="240" w:lineRule="auto"/>
    </w:pPr>
    <w:tblPr>
      <w:tblStyleRowBandSize w:val="1"/>
      <w:tblStyleColBandSize w:val="1"/>
      <w:tblBorders>
        <w:top w:val="single" w:sz="4" w:space="0" w:color="B6CBCD" w:themeColor="accent1" w:themeTint="66"/>
        <w:left w:val="single" w:sz="4" w:space="0" w:color="B6CBCD" w:themeColor="accent1" w:themeTint="66"/>
        <w:bottom w:val="single" w:sz="4" w:space="0" w:color="B6CBCD" w:themeColor="accent1" w:themeTint="66"/>
        <w:right w:val="single" w:sz="4" w:space="0" w:color="B6CBCD" w:themeColor="accent1" w:themeTint="66"/>
        <w:insideH w:val="single" w:sz="4" w:space="0" w:color="B6CBCD" w:themeColor="accent1" w:themeTint="66"/>
        <w:insideV w:val="single" w:sz="4" w:space="0" w:color="B6CBC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2B2B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B2B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60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6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606B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Malaria_16833652702750/TotalCasesMap?:language=en-US&amp;:display_count=n&amp;:origin=viz_share_lin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/Library/Containers/com.microsoft.Word/Data/Library/Application%20Support/Microsoft/Office/16.0/DTS/en-GB%7b103BA0BD-8D5E-294D-B61B-4FF4A9E62732%7d/%7b31F80C6F-775F-4B44-839F-8E84CB0AF42E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Yexing Lim</cp:lastModifiedBy>
  <cp:revision>3</cp:revision>
  <cp:lastPrinted>2023-05-06T09:32:00Z</cp:lastPrinted>
  <dcterms:created xsi:type="dcterms:W3CDTF">2023-05-06T09:32:00Z</dcterms:created>
  <dcterms:modified xsi:type="dcterms:W3CDTF">2023-05-07T01:12:00Z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