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68" w:rsidRDefault="00BB735B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</w:rPr>
        <w:t>Curriculum Vitae</w:t>
      </w:r>
    </w:p>
    <w:p w:rsidR="00043468" w:rsidRDefault="00043468">
      <w:pPr>
        <w:spacing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37"/>
      </w:tblGrid>
      <w:tr w:rsidR="00043468">
        <w:tc>
          <w:tcPr>
            <w:tcW w:w="1985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Name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Date of birth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Place of birth</w:t>
            </w:r>
          </w:p>
        </w:tc>
        <w:tc>
          <w:tcPr>
            <w:tcW w:w="7337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Prof. Dr. Thomas J. Vogl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17.05.1958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Munich/Germany </w:t>
            </w:r>
          </w:p>
        </w:tc>
      </w:tr>
      <w:tr w:rsidR="00043468">
        <w:tc>
          <w:tcPr>
            <w:tcW w:w="1985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7337" w:type="dxa"/>
          </w:tcPr>
          <w:p w:rsidR="00043468" w:rsidRDefault="00BB735B">
            <w:pPr>
              <w:spacing w:line="360" w:lineRule="auto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Head of the Clinic for Radiology and Nuclear Medicine at the University Hospital Frankfurt</w:t>
            </w:r>
            <w:r>
              <w:t xml:space="preserve"> 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Section head including the sections pediatric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radiology, interventional radiology, breast imaging, orthopedical radiology, vascular radiology</w:t>
            </w:r>
          </w:p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:rsidR="00043468" w:rsidRDefault="00043468">
      <w:pPr>
        <w:spacing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43468">
        <w:tc>
          <w:tcPr>
            <w:tcW w:w="9210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RESEARCH FIELD</w:t>
            </w:r>
          </w:p>
        </w:tc>
      </w:tr>
      <w:tr w:rsidR="00043468">
        <w:tc>
          <w:tcPr>
            <w:tcW w:w="9210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Prof.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Dr.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Thomas Vogl, MD, is a Professor of Radiology at the University Hospital in Frankfurt with expertise in interventional oncology such as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transarterial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chemoembolization,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transpulmonary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chemoembolization, thermal ablation, vascular procedures, MDCT, MRI, eva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luation of contrast agent, MR-guided procedures, subjects upon which he regularly publishes and lectures nationally and internationally. His special focus is on head and neck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tumors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as well as primary and secondary liver and lung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tumors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. </w:t>
            </w:r>
          </w:p>
        </w:tc>
      </w:tr>
    </w:tbl>
    <w:p w:rsidR="00043468" w:rsidRDefault="00043468">
      <w:pPr>
        <w:spacing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7279"/>
      </w:tblGrid>
      <w:tr w:rsidR="00043468">
        <w:tc>
          <w:tcPr>
            <w:tcW w:w="9210" w:type="dxa"/>
            <w:gridSpan w:val="2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EDUCATION &amp; TRA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INING</w:t>
            </w:r>
          </w:p>
        </w:tc>
      </w:tr>
      <w:tr w:rsidR="00043468">
        <w:tc>
          <w:tcPr>
            <w:tcW w:w="1809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1976-1982</w:t>
            </w:r>
          </w:p>
        </w:tc>
        <w:tc>
          <w:tcPr>
            <w:tcW w:w="7401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Medical School, Ludwig Maximilian University in Munich, Graduation with M.D.</w:t>
            </w:r>
          </w:p>
        </w:tc>
      </w:tr>
      <w:tr w:rsidR="00043468">
        <w:tc>
          <w:tcPr>
            <w:tcW w:w="1809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Aug. 1988</w:t>
            </w:r>
          </w:p>
        </w:tc>
        <w:tc>
          <w:tcPr>
            <w:tcW w:w="7401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Research Fellowship at the Massachusetts General Hospital Boston</w:t>
            </w:r>
          </w:p>
        </w:tc>
      </w:tr>
      <w:tr w:rsidR="00043468">
        <w:tc>
          <w:tcPr>
            <w:tcW w:w="1809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10/88-03/90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15.02.89</w:t>
            </w:r>
          </w:p>
        </w:tc>
        <w:tc>
          <w:tcPr>
            <w:tcW w:w="7401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Training in nuclear medicine 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Qualified as „Doctor of Radiology“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with specialized training in radiation therapy</w:t>
            </w:r>
          </w:p>
        </w:tc>
      </w:tr>
      <w:tr w:rsidR="00043468">
        <w:tc>
          <w:tcPr>
            <w:tcW w:w="1809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01.03.92</w:t>
            </w:r>
          </w:p>
        </w:tc>
        <w:tc>
          <w:tcPr>
            <w:tcW w:w="7401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Qualification in Nuclear Medicine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043468">
        <w:tc>
          <w:tcPr>
            <w:tcW w:w="1809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04/96</w:t>
            </w:r>
          </w:p>
        </w:tc>
        <w:tc>
          <w:tcPr>
            <w:tcW w:w="7401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Qualification as Doctor of Neuroradiology</w:t>
            </w:r>
          </w:p>
        </w:tc>
      </w:tr>
    </w:tbl>
    <w:p w:rsidR="00043468" w:rsidRDefault="00043468">
      <w:pPr>
        <w:spacing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</w:p>
    <w:tbl>
      <w:tblPr>
        <w:tblStyle w:val="TableGrid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7273"/>
        <w:gridCol w:w="2095"/>
      </w:tblGrid>
      <w:tr w:rsidR="00043468">
        <w:trPr>
          <w:gridAfter w:val="1"/>
          <w:wAfter w:w="2095" w:type="dxa"/>
        </w:trPr>
        <w:tc>
          <w:tcPr>
            <w:tcW w:w="9070" w:type="dxa"/>
            <w:gridSpan w:val="2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POSITIONS &amp; EMPLOYMENT</w:t>
            </w:r>
          </w:p>
        </w:tc>
      </w:tr>
      <w:tr w:rsidR="00043468">
        <w:trPr>
          <w:gridAfter w:val="1"/>
          <w:wAfter w:w="2095" w:type="dxa"/>
        </w:trPr>
        <w:tc>
          <w:tcPr>
            <w:tcW w:w="1797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01/83-07/88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01.01.90</w:t>
            </w:r>
          </w:p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01.11.92</w:t>
            </w:r>
          </w:p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15.11.92 </w:t>
            </w:r>
          </w:p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Since11/98</w:t>
            </w:r>
          </w:p>
        </w:tc>
        <w:tc>
          <w:tcPr>
            <w:tcW w:w="7273" w:type="dxa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 xml:space="preserve">Intern at the Department of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Radiology, University Hospital Munich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Senior Consultant at the Department of Radiology, University Hospital of Munich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Assistant Medical Director at the Department of Radiation Therapy,  Free University Berlin, University Hospital Rudolf Virchow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Professor o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 General Radiology, Free University of Berlin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Head of the Clinic for Radiology and Nuclear Medicine, University Hospital Frankfurt including Pediatric Radiology, Orthopedic Radiology, and Breast Center</w:t>
            </w:r>
          </w:p>
        </w:tc>
      </w:tr>
      <w:tr w:rsidR="00043468">
        <w:trPr>
          <w:gridAfter w:val="1"/>
          <w:wAfter w:w="2095" w:type="dxa"/>
        </w:trPr>
        <w:tc>
          <w:tcPr>
            <w:tcW w:w="1797" w:type="dxa"/>
          </w:tcPr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7273" w:type="dxa"/>
          </w:tcPr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043468">
        <w:trPr>
          <w:gridAfter w:val="1"/>
          <w:wAfter w:w="2095" w:type="dxa"/>
        </w:trPr>
        <w:tc>
          <w:tcPr>
            <w:tcW w:w="9070" w:type="dxa"/>
            <w:gridSpan w:val="2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ACTIVITIES IN THE SCIENTIFIC COMMUNITY AND OTHER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EXPERIENCES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(max. 200 characters)</w:t>
            </w:r>
          </w:p>
        </w:tc>
      </w:tr>
      <w:tr w:rsidR="00043468">
        <w:trPr>
          <w:gridAfter w:val="1"/>
          <w:wAfter w:w="2095" w:type="dxa"/>
        </w:trPr>
        <w:tc>
          <w:tcPr>
            <w:tcW w:w="9070" w:type="dxa"/>
            <w:gridSpan w:val="2"/>
          </w:tcPr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Secretary of the European Society of Head and Neck (1993)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Secretary of the First European Congress of Radiology in Vienna (1991)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President of the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XVIth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International Congress of Head and Neck Radiology (2003) 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Chairman: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Deutsche Klinik für Diagnostische Radiologie: Wiesbaden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Chairman Hessian X-ray society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Participation in the White Paper / Workshop regarding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Radiomics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and Big Data / German X-ray society (2016)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Member of the research committee of CIRSE (2017/2018)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Executiv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 Board of the Frankfurt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Klinikallianz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(since 2013)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Congress President of the 102. German X-ray congress (2021)   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Frankfurt Congress Ambassador (2022-2024) 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043468">
        <w:tc>
          <w:tcPr>
            <w:tcW w:w="11165" w:type="dxa"/>
            <w:gridSpan w:val="3"/>
          </w:tcPr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Honorary Awards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International Magnetic Resonance Prize (Garmisch-Partenkirchen)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Wilhelm Conrad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Röntgen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Prize Wiesbaden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1992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First Prize of the French Association of Radiology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Straßburg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1992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First Prize of the European Head and Neck Society (ESHNR) in Karlsruhe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Poster prize at the Annual Meeting of the German Society for Endosco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py and Medical Imaging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Editor’s recognition award “with distinction”. Radiology – Oak Brook, Illinois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Holthusen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Ring of the German X-ray Society (Frankfurt)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1995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European Magnetic Resonance Prize for the development of Magnetic Resonance Imaging 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Most prolific Radiology reviewer, RSNA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Chicaco</w:t>
            </w:r>
            <w:proofErr w:type="spellEnd"/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2003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Pater-Leander-Fischer-Prize 2003 (Munich)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2005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Deutschlands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Beste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Klinik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-Website 2005 (Novartis Pharma)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2007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Best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Scientific Presentation ECR Vienna 2007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2010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Nomination for the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Mamazone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scientific award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2013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Leading Medicine Germany-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Deutscher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Verlag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für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Gesundheitsinformation</w:t>
            </w:r>
            <w:proofErr w:type="spellEnd"/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2015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Leading Medicine Germany–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Deutscher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Verlag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für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Gesundheitsinformation</w:t>
            </w:r>
            <w:proofErr w:type="spellEnd"/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2016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Leading Medi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cine Germany–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Deutscher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Verlag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für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Gesundheitsinformation</w:t>
            </w:r>
            <w:proofErr w:type="spellEnd"/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German Medical Award 2020 (Pro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Cura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Medici GmbH)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2023   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Athene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Preis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für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Gute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Lehre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(Carlo und Karin Giersch-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Stiftung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2024    Best published paper award at the ESHNR</w:t>
            </w:r>
          </w:p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Memberships/Participation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in national and international radiologic societies: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DRG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Deutsche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Röntgengesellschaft</w:t>
            </w:r>
            <w:proofErr w:type="spellEnd"/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ESR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European Society of Radiology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AWMF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AG der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Wissenschaftlichen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Medizinischen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Fachgesellschaften</w:t>
            </w:r>
            <w:proofErr w:type="spellEnd"/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DGHT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Deutsche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Gesellschaft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für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Hyperthermie</w:t>
            </w:r>
            <w:proofErr w:type="spellEnd"/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DFG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Deutsche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Forschungsgemei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nschaft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 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DGNR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Deutsche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Gesellschaft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für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Neuroradiologie</w:t>
            </w:r>
            <w:proofErr w:type="spellEnd"/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ESCR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European Society of Cardiac Radiology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ASCO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American Society of Clinical Oncology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IOS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Interventional Oncological Society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CIRSE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Cardiovascular and Interventional Radiological Society of Europe (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Member of the Research Committee)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ESGAR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European Society of Gastrointestinal and Abdominal Radiology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ESHNR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European Society of Head and Neck Radiology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RSNA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Radiological Society of North America</w:t>
            </w:r>
          </w:p>
          <w:p w:rsidR="00043468" w:rsidRDefault="00BB735B">
            <w:pPr>
              <w:tabs>
                <w:tab w:val="left" w:pos="960"/>
              </w:tabs>
              <w:spacing w:line="360" w:lineRule="auto"/>
              <w:ind w:left="37" w:hanging="3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SIO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Society of Interventional Oncology (SIO)</w:t>
            </w:r>
          </w:p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043468" w:rsidRDefault="0004346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043468" w:rsidRDefault="00BB735B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</w:r>
          </w:p>
        </w:tc>
      </w:tr>
    </w:tbl>
    <w:p w:rsidR="00043468" w:rsidRDefault="00043468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sectPr w:rsidR="000434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C1963"/>
    <w:multiLevelType w:val="hybridMultilevel"/>
    <w:tmpl w:val="286651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68"/>
    <w:rsid w:val="00043468"/>
    <w:rsid w:val="00B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43C22C-5C96-49B0-B775-223F5030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b/>
      <w:bCs/>
      <w:smallCaps/>
    </w:rPr>
  </w:style>
  <w:style w:type="character" w:styleId="BookTitle">
    <w:name w:val="Book Title"/>
    <w:basedOn w:val="DefaultParagraphFont"/>
    <w:uiPriority w:val="33"/>
    <w:qFormat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KGU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Potapczuk, Sigrid</dc:creator>
  <cp:keywords/>
  <dc:description/>
  <cp:lastModifiedBy>Mohammed Nab</cp:lastModifiedBy>
  <cp:revision>2</cp:revision>
  <cp:lastPrinted>2024-10-22T11:31:00Z</cp:lastPrinted>
  <dcterms:created xsi:type="dcterms:W3CDTF">2025-01-29T05:32:00Z</dcterms:created>
  <dcterms:modified xsi:type="dcterms:W3CDTF">2025-01-29T05:32:00Z</dcterms:modified>
</cp:coreProperties>
</file>