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3A5B"/>
          <w:sz w:val="72"/>
          <w:szCs w:val="72"/>
        </w:rPr>
        <w:t xml:space="preserve">Cert_EET</w:t>
      </w:r>
    </w:p>
    <w:p>
      <w:pPr>
        <w:spacing w:after="60"/>
        <w:jc w:val="center"/>
      </w:pPr>
      <w:r>
        <w:rPr>
          <w:b/>
          <w:bCs/>
          <w:color w:val="2E6DA4"/>
          <w:sz w:val="42"/>
          <w:szCs w:val="42"/>
        </w:rPr>
        <w:t xml:space="preserve">Architecture physique</w:t>
      </w:r>
    </w:p>
    <w:p>
      <w:pPr>
        <w:pBdr>
          <w:top w:val="single" w:color="2E6DA4" w:sz="6" w:space="8"/>
        </w:pBdr>
        <w:spacing w:before="80"/>
        <w:jc w:val="center"/>
      </w:pPr>
      <w:r>
        <w:rPr>
          <w:sz w:val="2"/>
          <w:szCs w:val="2"/>
        </w:rPr>
        <w:t xml:space="preserve"/>
      </w:r>
    </w:p>
    <w:p>
      <w:pPr>
        <w:spacing w:before="2400"/>
        <w:jc w:val="center"/>
      </w:pPr>
      <w:r>
        <w:rPr>
          <w:color w:val="5A6570"/>
          <w:sz w:val="24"/>
          <w:szCs w:val="24"/>
        </w:rPr>
        <w:t xml:space="preserve">Plateforme de Certification et de Micro-Certification Digitale</w:t>
      </w:r>
    </w:p>
    <w:p>
      <w:pPr>
        <w:spacing w:before="40"/>
        <w:jc w:val="center"/>
      </w:pPr>
      <w:r>
        <w:rPr>
          <w:color w:val="5A6570"/>
          <w:sz w:val="24"/>
          <w:szCs w:val="24"/>
        </w:rPr>
        <w:t xml:space="preserve">Projet de Fin d'Études — ESPRIT, Ingénierie Logicielle</w:t>
      </w:r>
    </w:p>
    <w:p>
      <w:pPr>
        <w:spacing w:before="40"/>
        <w:jc w:val="center"/>
      </w:pPr>
      <w:r>
        <w:rPr>
          <w:color w:val="5A6570"/>
          <w:sz w:val="24"/>
          <w:szCs w:val="24"/>
        </w:rPr>
        <w:t xml:space="preserve">Iyed Omri  ·  Juin 2026</w:t>
      </w:r>
    </w:p>
    <w:p>
      <w:r>
        <w:br w:type="page"/>
      </w:r>
    </w:p>
    <w:p>
      <w:pPr>
        <w:pStyle w:val="Heading1"/>
      </w:pPr>
      <w:r>
        <w:t xml:space="preserve">1. Vue d'ensemble</w:t>
      </w:r>
    </w:p>
    <w:p>
      <w:pPr>
        <w:spacing w:after="170" w:before="0" w:line="300"/>
        <w:jc w:val="both"/>
      </w:pPr>
      <w:r>
        <w:t xml:space="preserve">L'architecture physique décrit l'infrastructure réelle sur laquelle Cert_EET s'exécute : les machines, les conteneurs et les communications réseau. Là où l'architecture logique répond à la question « comment le code est-il organisé », l'architecture physique répond à « où s'exécute chaque élément et comment ils communiquent ».</w:t>
      </w:r>
    </w:p>
    <w:p>
      <w:pPr>
        <w:spacing w:after="170" w:before="0" w:line="300"/>
        <w:jc w:val="both"/>
      </w:pPr>
      <w:r>
        <w:t xml:space="preserve">L'ensemble du système est </w:t>
      </w:r>
      <w:r>
        <w:rPr>
          <w:b/>
          <w:bCs/>
        </w:rPr>
        <w:t xml:space="preserve">conteneurisé avec Docker et orchestré par Docker Compose</w:t>
      </w:r>
      <w:r>
        <w:t xml:space="preserve"> (</w:t>
      </w:r>
      <w:r>
        <w:rPr>
          <w:b/>
          <w:bCs/>
          <w:color w:val="2E6DA4"/>
        </w:rPr>
        <w:t xml:space="preserve">ADR-07</w:t>
      </w:r>
      <w:r>
        <w:t xml:space="preserve">). Une seule commande démarre la totalité de l'environnement, ce qui rend le déploiement reproductible entre développement, recette et production. La figure ci-dessous présente cette infrastructure.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A6570"/>
          <w:sz w:val="18"/>
          <w:szCs w:val="18"/>
        </w:rPr>
        <w:t xml:space="preserve">Figure 1 — Architecture physique : déploiement conteneurisé de Cert_EET.</w:t>
      </w:r>
    </w:p>
    <w:p>
      <w:r>
        <w:br w:type="page"/>
      </w:r>
    </w:p>
    <w:p>
      <w:pPr>
        <w:pStyle w:val="Heading1"/>
      </w:pPr>
      <w:r>
        <w:t xml:space="preserve">2. Les nœuds du déploiement</w:t>
      </w:r>
    </w:p>
    <w:p>
      <w:pPr>
        <w:spacing w:after="170" w:before="0" w:line="300"/>
        <w:jc w:val="both"/>
      </w:pPr>
      <w:r>
        <w:rPr>
          <w:b/>
          <w:bCs/>
        </w:rPr>
        <w:t xml:space="preserve">Le client. </w:t>
      </w:r>
      <w:r>
        <w:t xml:space="preserve">L'utilisateur accède à la plateforme depuis un navigateur web ou un mobile. Toutes les communications avec le serveur sont chiffrées en HTTPS / TLS.</w:t>
      </w:r>
    </w:p>
    <w:p>
      <w:pPr>
        <w:spacing w:after="170" w:before="0" w:line="300"/>
        <w:jc w:val="both"/>
      </w:pPr>
      <w:r>
        <w:rPr>
          <w:b/>
          <w:bCs/>
        </w:rPr>
        <w:t xml:space="preserve">Le reverse proxy (Nginx). </w:t>
      </w:r>
      <w:r>
        <w:t xml:space="preserve">Point d'entrée unique de l'hôte, il assure la terminaison TLS, sert le frontend et route les appels vers l'API. Il constitue la première ligne de sécurité (</w:t>
      </w:r>
      <w:r>
        <w:rPr>
          <w:b/>
          <w:bCs/>
          <w:color w:val="2E6DA4"/>
        </w:rPr>
        <w:t xml:space="preserve">ADR-08</w:t>
      </w:r>
      <w:r>
        <w:t xml:space="preserve">).</w:t>
      </w:r>
    </w:p>
    <w:p>
      <w:pPr>
        <w:spacing w:after="170" w:before="0" w:line="300"/>
        <w:jc w:val="both"/>
      </w:pPr>
      <w:r>
        <w:rPr>
          <w:b/>
          <w:bCs/>
        </w:rPr>
        <w:t xml:space="preserve">Le frontend et l'API. </w:t>
      </w:r>
      <w:r>
        <w:t xml:space="preserve">Le conteneur </w:t>
      </w:r>
      <w:r>
        <w:rPr>
          <w:i/>
          <w:iCs/>
        </w:rPr>
        <w:t xml:space="preserve">Frontend (Next.js)</w:t>
      </w:r>
      <w:r>
        <w:t xml:space="preserve"> produit les pages ; le conteneur </w:t>
      </w:r>
      <w:r>
        <w:rPr>
          <w:i/>
          <w:iCs/>
        </w:rPr>
        <w:t xml:space="preserve">API (NestJS)</w:t>
      </w:r>
      <w:r>
        <w:t xml:space="preserve"> exécute la logique métier et expose les endpoints REST et SSE. L'API est prévue pour fonctionner en plusieurs instances afin d'absorber la charge (NF5).</w:t>
      </w:r>
    </w:p>
    <w:p>
      <w:pPr>
        <w:spacing w:after="170" w:before="0" w:line="300"/>
        <w:jc w:val="both"/>
      </w:pPr>
      <w:r>
        <w:rPr>
          <w:b/>
          <w:bCs/>
        </w:rPr>
        <w:t xml:space="preserve">Le worker. </w:t>
      </w:r>
      <w:r>
        <w:t xml:space="preserve">C'est la pièce la plus structurante du déploiement (</w:t>
      </w:r>
      <w:r>
        <w:rPr>
          <w:b/>
          <w:bCs/>
          <w:color w:val="2E6DA4"/>
        </w:rPr>
        <w:t xml:space="preserve">ADR-04</w:t>
      </w:r>
      <w:r>
        <w:t xml:space="preserve">). Node.js s'exécutant sur un thread unique, les traitements lourds — génération de PDF de certificats, indexation et appels IA, envoi d'emails — sont déportés dans un processus worker séparé, alimenté par une file de tâches (Bull, persistée dans Redis). L'API empile la tâche et répond immédiatement ; le worker la traite en arrière-plan. Le temps de réponse de l'API reste ainsi protégé.</w:t>
      </w:r>
    </w:p>
    <w:p>
      <w:pPr>
        <w:spacing w:after="170" w:before="0" w:line="300"/>
        <w:jc w:val="both"/>
      </w:pPr>
      <w:r>
        <w:rPr>
          <w:b/>
          <w:bCs/>
        </w:rPr>
        <w:t xml:space="preserve">Les bases de données. </w:t>
      </w:r>
      <w:r>
        <w:rPr>
          <w:i/>
          <w:iCs/>
        </w:rPr>
        <w:t xml:space="preserve">PostgreSQL</w:t>
      </w:r>
      <w:r>
        <w:t xml:space="preserve">, </w:t>
      </w:r>
      <w:r>
        <w:rPr>
          <w:i/>
          <w:iCs/>
        </w:rPr>
        <w:t xml:space="preserve">Redis</w:t>
      </w:r>
      <w:r>
        <w:t xml:space="preserve"> et </w:t>
      </w:r>
      <w:r>
        <w:rPr>
          <w:i/>
          <w:iCs/>
        </w:rPr>
        <w:t xml:space="preserve">MinIO</w:t>
      </w:r>
      <w:r>
        <w:t xml:space="preserve"> s'exécutent chacun dans leur conteneur, avec des volumes persistés sur l'hôte pour conserver les données entre redémarrages.</w:t>
      </w:r>
    </w:p>
    <w:p>
      <w:pPr>
        <w:spacing w:after="170" w:before="0" w:line="300"/>
        <w:jc w:val="both"/>
      </w:pPr>
      <w:r>
        <w:rPr>
          <w:b/>
          <w:bCs/>
        </w:rPr>
        <w:t xml:space="preserve">Les services externes. </w:t>
      </w:r>
      <w:r>
        <w:t xml:space="preserve">L'API du modèle de langage (interchangeable — GPT-4o, Claude ou Mistral, </w:t>
      </w:r>
      <w:r>
        <w:rPr>
          <w:b/>
          <w:bCs/>
          <w:color w:val="2E6DA4"/>
        </w:rPr>
        <w:t xml:space="preserve">ADR-05</w:t>
      </w:r>
      <w:r>
        <w:t xml:space="preserve">) et le service SMTP restent hors de l'hôte. Ils sont sollicités par le worker au travers d'adaptateurs, ce qui permet de les remplacer sans modifier le code métier.</w:t>
      </w:r>
    </w:p>
    <w:p>
      <w:pPr>
        <w:pStyle w:val="Heading1"/>
      </w:pPr>
      <w:r>
        <w:t xml:space="preserve">3. Souveraineté et portabilité</w:t>
      </w:r>
    </w:p>
    <w:p>
      <w:pPr>
        <w:spacing w:after="170" w:before="0" w:line="300"/>
        <w:jc w:val="both"/>
      </w:pPr>
      <w:r>
        <w:t xml:space="preserve">Parce que l'ensemble est auto-hébergeable, Cert_EET peut être déployé sur une infrastructure locale ou un VPS sans aucune dépendance à un cloud applicatif. Cette capacité répond à l'exigence de souveraineté des données (NF4) : la décision d'hébergement reste entièrement à la discrétion d'ESPRIT Entreprise. La conteneurisation garantit par ailleurs la portabilité (NF9) — les mêmes images Docker fonctionnent à l'identique sur tous les environnements.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D6" w:sz="4" w:space="4"/>
      </w:pBdr>
      <w:jc w:val="center"/>
    </w:pPr>
    <w:r>
      <w:rPr>
        <w:color w:val="5A6570"/>
        <w:sz w:val="16"/>
        <w:szCs w:val="16"/>
      </w:rPr>
      <w:t xml:space="preserve">Iyed Omri — PFE ESPRIT 2026     ·     </w:t>
    </w:r>
    <w:r>
      <w:rPr>
        <w:color w:val="5A65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ED6" w:sz="4" w:space="4"/>
      </w:pBdr>
      <w:jc w:val="right"/>
    </w:pPr>
    <w:r>
      <w:rPr>
        <w:color w:val="5A6570"/>
        <w:sz w:val="16"/>
        <w:szCs w:val="16"/>
      </w:rPr>
      <w:t xml:space="preserve">Cert_EET — Architecture physique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A4" w:sz="4" w:space="4"/>
      </w:pBdr>
      <w:spacing w:after="160" w:before="240"/>
      <w:outlineLvl w:val="0"/>
    </w:pPr>
    <w:rPr>
      <w:rFonts w:ascii="Calibri" w:cs="Calibri" w:eastAsia="Calibri" w:hAnsi="Calibri"/>
      <w:b/>
      <w:bCs/>
      <w:color w:val="1B3A5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7dadb86cff4efdfe8d4017ba2d14f472f0eb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2026-06-23T02:38:13.019Z</dcterms:created>
  <dcterms:modified xsi:type="dcterms:W3CDTF">2026-06-23T02:38:13.019Z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