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B4F72"/>
          <w:sz w:val="72"/>
          <w:szCs w:val="72"/>
        </w:rPr>
        <w:t xml:space="preserve">Cert_EET</w:t>
      </w:r>
    </w:p>
    <w:p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 xml:space="preserve">Diagramme de composants</w:t>
      </w:r>
    </w:p>
    <w:p>
      <w:pPr>
        <w:spacing w:after="40"/>
        <w:jc w:val="center"/>
      </w:pPr>
      <w:r>
        <w:rPr>
          <w:color w:val="566573"/>
          <w:sz w:val="26"/>
          <w:szCs w:val="26"/>
        </w:rPr>
        <w:t xml:space="preserve">Document maitre — architecture modulaire NestJS</w:t>
      </w:r>
    </w:p>
    <w:p>
      <w:pPr>
        <w:pBdr>
          <w:top w:val="single" w:color="2E75B6" w:sz="6" w:space="8"/>
        </w:pBdr>
        <w:spacing w:before="80"/>
        <w:jc w:val="center"/>
      </w:pPr>
      <w:r>
        <w:rPr>
          <w:sz w:val="2"/>
          <w:szCs w:val="2"/>
        </w:rPr>
        <w:t xml:space="preserve"/>
      </w:r>
    </w:p>
    <w:p>
      <w:pPr>
        <w:spacing w:before="2400"/>
        <w:jc w:val="center"/>
      </w:pPr>
      <w:r>
        <w:rPr>
          <w:color w:val="566573"/>
          <w:sz w:val="24"/>
          <w:szCs w:val="24"/>
        </w:rPr>
        <w:t xml:space="preserve">Projet de Fin d'Etudes — ESPRIT, Ingenierie Logicielle</w:t>
      </w:r>
    </w:p>
    <w:p>
      <w:pPr>
        <w:spacing w:before="40"/>
        <w:jc w:val="center"/>
      </w:pPr>
      <w:r>
        <w:rPr>
          <w:color w:val="566573"/>
          <w:sz w:val="24"/>
          <w:szCs w:val="24"/>
        </w:rPr>
        <w:t xml:space="preserve">Iyed Omri  ·  Version 1.0  ·  Juin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 et conventions</w:t>
      </w:r>
    </w:p>
    <w:p>
      <w:pPr>
        <w:spacing w:after="120" w:before="0" w:line="276"/>
      </w:pPr>
      <w:r>
        <w:t xml:space="preserve">Ce document presente le diagramme de composants de la plateforme Cert_EET. La ou le diagramme de deploiement (DEP-01) montre OU s'execute le logiciel, le diagramme de composants montre COMMENT les modules NestJS s'emboitent : quelles interfaces chaque module fournit, quelles interfaces il requiert, et quelles dependances relient le code metier aux adaptateurs d'infrastructure.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Demarche. </w:t>
      </w:r>
      <w:r>
        <w:t xml:space="preserve">Les seize modules et les trois services externes sont derives directement de la structure modulaire decrite dans le cahier des charges et les ADR (ADR-02 NestJS, ADR-05 abstraction LLM, ADR-06 SSE, ADR-08 JWT/MFA/RBAC). Le decoupage en modules metier, adaptateurs et transverses suit l'organisation reelle du dossier src/ NestJS.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Valeur ajoutee par rapport au deploiement. </w:t>
      </w:r>
      <w:r>
        <w:t xml:space="preserve">Ce diagramme rend explicites les contrats d'interface — en particulier les adaptateurs swappables (ILLMProvider, IStorageProvider, IEmailProvider, IQueueProvider) qui constituent le point differenciant de l'architecture : changer de fournisseur LLM ou de stockage ne touche aucun module metier.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Conventions. </w:t>
      </w:r>
      <w:r>
        <w:t xml:space="preserve">Routage orthogonal strict, composants stereotypes « module », interfaces fournies en notation lollipop (cercle plein) et interfaces requises en dependance pointillee. Code couleur rappele ci-dessous.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4"/>
                <w:szCs w:val="14"/>
              </w:rPr>
              <w:t xml:space="preserve">Vert — metier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4"/>
                <w:szCs w:val="14"/>
              </w:rPr>
              <w:t xml:space="preserve">Rouge — securite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4"/>
                <w:szCs w:val="14"/>
              </w:rPr>
              <w:t xml:space="preserve">Bleu — adaptateur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4"/>
                <w:szCs w:val="14"/>
              </w:rPr>
              <w:t xml:space="preserve">Gris — transverse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4"/>
                <w:szCs w:val="14"/>
              </w:rPr>
              <w:t xml:space="preserve">Orange — externe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COMP-01 — Architecture des modules NestJS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Pourquoi ce diagramme. </w:t>
      </w:r>
      <w:r>
        <w:t xml:space="preserve">Il sert de plan de developpement : chaque composant correspond a un module NestJS reel, chaque interface a un contrat TypeScript. Le jury peut verifier la correspondance directe entre le diagramme et le code ("ou est ce module ?", "quel module fournit cette interface ?").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Ce qu'il apporte. </w:t>
      </w:r>
      <w:r>
        <w:t xml:space="preserve">Il isole les quatre adaptateurs d'infrastructure derriere des interfaces stables, materialisant le principe d'inversion de dependance : les modules metier dependent d'abstractions (les interfaces), jamais des implementations concretes (Bull, MinIO, OpenAI, SMTP).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Choix illustres. </w:t>
      </w:r>
      <w:r>
        <w:t xml:space="preserve">AssistanceIAModule apparait comme le composant le plus connecte (pipeline RAG : LLM + Queue + Storage + pgvector). AuthModule fournit les gardes JwtAuthGuard et RolesGuard consommes par tous les modules metier. AuditModule fournit un intercepteur global applique aux actions critiques.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Sources : </w:t>
      </w:r>
      <w:r>
        <w:t xml:space="preserve">Cahier des charges F1-F7 · ADR-02/05/06/08 · DS-06 / AC-04 (RAG) · DEP-01 (conteneurs)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566573"/>
          <w:sz w:val="18"/>
          <w:szCs w:val="18"/>
        </w:rPr>
        <w:t xml:space="preserve">Figure 1 — COMP-01 (rendu Graphviz, routage orthogonal). Version pleine resolution dans le dossier.</w:t>
      </w:r>
    </w:p>
    <w:p>
      <w:r>
        <w:br w:type="page"/>
      </w:r>
    </w:p>
    <w:p>
      <w:pPr>
        <w:pStyle w:val="Heading2"/>
      </w:pPr>
      <w:r>
        <w:t xml:space="preserve">2.1 Modules et responsabilites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9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AuthModule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JWT RS256, MFA TOTP, gardes RBAC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UsersModule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Comptes utilisateurs, attribution des roles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FormationsModule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Formations, modules, inscriptions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QCMModule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QCM, anti-fraude, scoring serveur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AteliersModule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Livrables, correction, feedback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CertificatsModule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Emission, SHA-256, revocation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AssistanceIAModule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RAG, generation QCM par IA, alertes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NotificationsModule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Push temps reel via SSE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AuditModule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metier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Intercepteur global, journaux immuables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LLMAdapterModule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adaptateur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ILLMProvider — swap GPT/Claude/Mistral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StorageAdapterModule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adaptateur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IStorageProvider — S3/MinIO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EmailAdapterModule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adaptateur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IEmailProvider — SMTP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QueueAdapterModule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adaptateur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IQueueProvider — Bull/Redis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ConfigModule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transverse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Configuration typee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DatabaseModule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transverse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TypeORM, PostgreSQL, pgvector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sz w:val="17"/>
                <w:szCs w:val="17"/>
              </w:rPr>
              <w:t xml:space="preserve">LoggerModule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transverse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Logs structures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Contrats d'interface (fournies / requises)</w:t>
      </w:r>
    </w:p>
    <w:p>
      <w:pPr>
        <w:spacing w:after="120" w:before="0" w:line="276"/>
      </w:pPr>
      <w:r>
        <w:t xml:space="preserve">Le tableau resume les interfaces fournies par chaque composant et les modules qui les consomment. C'est le coeur du diagramme : il documente les points de decouplage de l'architecture.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 fournie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Fournie par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Requise par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ILLMProvider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LLMAdapterModule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AssistanceIAModule (pipeline RAG)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IStorageProvider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StorageAdapterModule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CertificatsModule, AteliersModule, AssistanceIAModule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IEmailProvider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EmailAdapterModule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NotificationsModule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IQueueProvider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QueueAdapterModule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CertificatsModule, AssistanceIAModule, QCMModule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JwtAuthGuard + RolesGuard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AuthModule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TOUS les modules metier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SSE channel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NotificationsModule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AssistanceIAModule, AteliersModule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AuditInterceptor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AuditModule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Actions critiques (certificat, QCM, revocation)</w:t>
            </w:r>
          </w:p>
        </w:tc>
      </w:tr>
    </w:tbl>
    <w:p>
      <w:pPr>
        <w:spacing w:after="120" w:before="120" w:line="276"/>
      </w:pPr>
      <w:r>
        <w:rPr>
          <w:b/>
          <w:bCs/>
          <w:color w:val="1B4F72"/>
        </w:rPr>
        <w:t xml:space="preserve">Modules transverses. </w:t>
      </w:r>
      <w:r>
        <w:t xml:space="preserve">ConfigModule, DatabaseModule et LoggerModule sont requis par l'ensemble des modules metier et des adaptateurs. Leurs liens ne sont pas traces individuellement sur le diagramme pour preserver la lisibilite ; ils sont signales par une note.</w:t>
      </w:r>
    </w:p>
    <w:p>
      <w:r>
        <w:br w:type="page"/>
      </w:r>
    </w:p>
    <w:p>
      <w:pPr>
        <w:pStyle w:val="Heading1"/>
      </w:pPr>
      <w:r>
        <w:t xml:space="preserve">3. Matrice de tracabilite</w:t>
      </w:r>
    </w:p>
    <w:p>
      <w:pPr>
        <w:spacing w:after="120" w:before="0" w:line="276"/>
      </w:pPr>
      <w:r>
        <w:t xml:space="preserve">La matrice relie chaque composant a la decision d'architecture (ADR) qui le justifie, au besoin fonctionnel qu'il sert, et aux diagrammes amont qui le mettent en oeuvre.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Diagrammes amont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AuthModule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F7 · NF3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DEP-03 · UC RBAC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QCMModule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DS-02 · etats TentativeQCM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AteliersModule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F2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DS-03 · AC-03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CertificatsModule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DS-04/05/07 · AC-01/02 · etats Certificat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AssistanceIAModule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DS-06 · AC-04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NotificationsModule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F4 · F6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DS-06 (SSE) · AC-04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AuditModule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NF3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tous les flux critiques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LLMAdapterModule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F4 · NF4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DS-06 · AC-04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StorageAdapterModule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F2 · F3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AC-02 · DS-03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QueueAdapterModule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ADR-04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F3 · F4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7"/>
                <w:szCs w:val="17"/>
              </w:rPr>
              <w:t xml:space="preserve">AC-02 · AC-04 · DS-04/06</w:t>
            </w:r>
          </w:p>
        </w:tc>
      </w:tr>
    </w:tbl>
    <w:p>
      <w:pPr>
        <w:spacing w:after="120" w:before="140" w:line="276"/>
      </w:pPr>
      <w:r>
        <w:rPr>
          <w:b/>
          <w:bCs/>
          <w:color w:val="1B4F72"/>
        </w:rPr>
        <w:t xml:space="preserve">Cible de coherence. </w:t>
      </w:r>
      <w:r>
        <w:t xml:space="preserve">Chaque composant correspond a un module NestJS du dossier src/ ; chaque interface fournie correspond a un contrat TypeScript (token d'injection) ; chaque adaptateur correspond a un service externe du diagramme de deploiement DEP-01.</w:t>
      </w:r>
    </w:p>
    <w:p>
      <w:r>
        <w:br w:type="page"/>
      </w:r>
    </w:p>
    <w:p>
      <w:pPr>
        <w:pStyle w:val="Heading1"/>
      </w:pPr>
      <w:r>
        <w:t xml:space="preserve">4. Rendu et reproduction</w:t>
      </w:r>
    </w:p>
    <w:p>
      <w:pPr>
        <w:spacing w:after="120" w:before="0" w:line="276"/>
      </w:pPr>
      <w:r>
        <w:t xml:space="preserve">Le diagramme est fourni sous trois formes dans son sous-dossier : source PlantUML (.puml), source Graphviz (.dot) et image (.png).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Rendu de reference (Graphviz). </w:t>
      </w:r>
      <w:r>
        <w:t xml:space="preserve">Les PNG ont ete produits via Graphviz pour un controle precis du routage orthogonal :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dot -Tpng -Gdpi=160 COMP01_Architecture_Modules/Cert_EET_COMP01_Architecture_Modules.dot -o sortie.png</w:t>
      </w:r>
    </w:p>
    <w:p>
      <w:pPr>
        <w:spacing w:after="120" w:before="0" w:line="276"/>
      </w:pPr>
      <w:r>
        <w:rPr>
          <w:b/>
          <w:bCs/>
          <w:color w:val="1B4F72"/>
        </w:rPr>
        <w:t xml:space="preserve">Rendu PlantUML. </w:t>
      </w:r>
      <w:r>
        <w:t xml:space="preserve">La source .puml utilise la syntaxe composants native (component / interface / lollipop, componentStyle uml2) pour StarUML ou l'extension VS Code :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java -jar plantuml.jar COMP01_Architecture_Modules/Cert_EET_COMP01_Architecture_Modules.puml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center"/>
    </w:pPr>
    <w:r>
      <w:rPr>
        <w:color w:val="566573"/>
        <w:sz w:val="16"/>
        <w:szCs w:val="16"/>
      </w:rPr>
      <w:t xml:space="preserve">Iyed Omri — PFE ESPRIT 2026     ·     </w:t>
    </w:r>
    <w:r>
      <w:rPr>
        <w:color w:val="56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  <w:jc w:val="right"/>
    </w:pPr>
    <w:r>
      <w:rPr>
        <w:color w:val="566573"/>
        <w:sz w:val="16"/>
        <w:szCs w:val="16"/>
      </w:rPr>
      <w:t xml:space="preserve">Cert_EET — Diagramme de composants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24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4e235e8b8119b306286fddfeb2c2bd50a4ad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2026-06-21T23:34:09.061Z</dcterms:created>
  <dcterms:modified xsi:type="dcterms:W3CDTF">2026-06-21T23:34:09.075Z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