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0"/>
          <w:szCs w:val="30"/>
        </w:rPr>
        <w:t xml:space="preserve">Content Management in Health Care:</w:t>
      </w:r>
    </w:p>
    <w:p>
      <w:pPr>
        <w:spacing w:after="160"/>
      </w:pPr>
      <w:r>
        <w:rPr>
          <w:b/>
          <w:bCs/>
          <w:sz w:val="30"/>
          <w:szCs w:val="30"/>
        </w:rPr>
        <w:t xml:space="preserve">A Grounded Policy Assistant for Payment Integrity</w:t>
      </w:r>
    </w:p>
    <w:p>
      <w:pPr>
        <w:spacing w:after="220"/>
      </w:pPr>
      <w:r>
        <w:rPr>
          <w:i/>
          <w:iCs/>
          <w:color w:val="5C6472"/>
        </w:rPr>
        <w:t xml:space="preserve">Iyman Ahmed   |   Cotiviti Generative AI Research Engineer Intern Assessment, Topic 3   |   July 2026</w:t>
      </w:r>
    </w:p>
    <w:p>
      <w:pPr>
        <w:spacing w:after="140" w:line="276"/>
      </w:pPr>
      <w:r>
        <w:t xml:space="preserve">Content management in health care is the work of keeping billing and coding policies, clinical guidelines, and payer provider contracts organized, current, and usable at the moment a decision is made. For a payment integrity company like Cotiviti this sits close to the core of the business, because whether a claim should be paid depends on reading the right rule correctly. The documents are long, they change often, and today most of the interpretation still falls on a person searching by keyword, which is slow and uneven across analysts.</w:t>
      </w:r>
    </w:p>
    <w:p>
      <w:pPr>
        <w:pStyle w:val="Heading1"/>
        <w:spacing w:after="100" w:before="200"/>
      </w:pPr>
      <w:r>
        <w:rPr>
          <w:b/>
          <w:bCs/>
        </w:rPr>
        <w:t xml:space="preserve">Relevant trends</w:t>
      </w:r>
    </w:p>
    <w:p>
      <w:pPr>
        <w:spacing w:after="140" w:line="276"/>
      </w:pPr>
      <w:r>
        <w:t xml:space="preserve">The tools for this problem have shifted from keyword search to large language models that can read, summarize, and compare policy in plain language. The change that matters most for a payer is retrieval augmented generation, which grounds an answer in retrieved source text and returns a citation, so the answer can be verified rather than trusted. Alongside it, models can now summarize a dense policy in seconds, describe what changed between two versions of a rule, and begin turning written policy into structured rules that a downstream system can act on.</w:t>
      </w:r>
    </w:p>
    <w:p>
      <w:pPr>
        <w:pStyle w:val="Heading1"/>
        <w:spacing w:after="100" w:before="200"/>
      </w:pPr>
      <w:r>
        <w:rPr>
          <w:b/>
          <w:bCs/>
        </w:rPr>
        <w:t xml:space="preserve">What I built</w:t>
      </w:r>
    </w:p>
    <w:p>
      <w:pPr>
        <w:spacing w:after="140" w:line="276"/>
      </w:pPr>
      <w:r>
        <w:t xml:space="preserve">To ground this in something real, I built Clinical Policy RAG, a small working prototype that applies these ideas to actual CMS material, including a Local Coverage Determination for lumbar MRI, ICD-10 coding guidance, and two years of a telehealth coverage policy. It does four things. It answers a policy question in plain English and cites the exact source document. It refuses to answer when the retrieved text does not support one, instead of inventing a code or a rule. It adjudicates a sample claim against a coverage determination and lists which requirements are met and which are not. And it compares two versions of a policy and reports what tightened, loosened, or was added.</w:t>
      </w:r>
    </w:p>
    <w:p>
      <w:pPr>
        <w:pStyle w:val="Heading1"/>
        <w:spacing w:after="100" w:before="200"/>
      </w:pPr>
      <w:r>
        <w:rPr>
          <w:b/>
          <w:bCs/>
        </w:rPr>
        <w:t xml:space="preserve">How it works</w:t>
      </w:r>
    </w:p>
    <w:p>
      <w:pPr>
        <w:spacing w:after="140" w:line="276"/>
      </w:pPr>
      <w:r>
        <w:t xml:space="preserve">The system follows a straightforward retrieval augmented pipeline. A question is embedded with a small local model and used to search a vector database of policy text held in ChromaDB. The most relevant passages are retrieved, and because the policy files are compact the whole source document is pulled in, so rules that live in different sections are read together rather than in isolation. A local language model then answers using only that text and cites each source it relied on. Everything runs on the machine through LM Studio at no API cost, which keeps sensitive content in house. The rule throughout is that the model may only speak from retrieved policy, so every answer is traceable back to a document.</w:t>
      </w:r>
    </w:p>
    <w:p>
      <w:pPr>
        <w:pStyle w:val="Heading1"/>
        <w:spacing w:after="100" w:before="200"/>
      </w:pPr>
      <w:r>
        <w:rPr>
          <w:b/>
          <w:bCs/>
        </w:rPr>
        <w:t xml:space="preserve">Opportunities and threats</w:t>
      </w:r>
    </w:p>
    <w:p>
      <w:pPr>
        <w:spacing w:after="140" w:line="276"/>
      </w:pPr>
      <w:r>
        <w:t xml:space="preserve">For Cotiviti the opportunity is direct. This turns minutes of policy research into seconds with a citation attached, and it mirrors claim adjudication by showing exactly which requirements a claim meets and which it misses. The same grounding supports monitoring a living rule library and flagging revisions before they cause incorrect payments. The threats are just as concrete. A model that fabricates a rule is a compliance liability rather than a help, policy goes stale if answers are not tied to the current source, and payment decisions should never be fully automated without a human reviewer. Grounding, provenance, and the ability to abstain are what make the approach safe to put in front of an analyst.</w:t>
      </w:r>
    </w:p>
    <w:p>
      <w:pPr>
        <w:pStyle w:val="Heading1"/>
        <w:spacing w:after="100" w:before="200"/>
      </w:pPr>
      <w:r>
        <w:rPr>
          <w:b/>
          <w:bCs/>
        </w:rPr>
        <w:t xml:space="preserve">Recommendation for Cotiviti</w:t>
      </w:r>
    </w:p>
    <w:p>
      <w:pPr>
        <w:spacing w:after="140" w:line="276"/>
      </w:pPr>
      <w:r>
        <w:t xml:space="preserve">I recommend piloting a retrieval grounded, human in the loop policy assistant on one bounded coding domain, and measuring two things that matter, the time an analyst takes to reach a cited answer and the accuracy of those citations, before widening the scope to change detection and to converting policy into machine readable rules. The prototype shows this is achievable with small, local models and modest effort. The principle it proves is simple. When an answer decides a payment, the system has to show its work, and it has to know when to stay quiet.</w:t>
      </w:r>
    </w:p>
    <w:p>
      <w:r>
        <w:br w:type="page"/>
      </w:r>
    </w:p>
    <w:p>
      <w:pPr>
        <w:pStyle w:val="Heading1"/>
        <w:spacing w:after="160"/>
      </w:pPr>
      <w:r>
        <w:rPr>
          <w:b/>
          <w:bCs/>
        </w:rPr>
        <w:t xml:space="preserve">References</w:t>
      </w:r>
    </w:p>
    <w:p>
      <w:pPr>
        <w:spacing w:after="120" w:line="276"/>
        <w:ind w:left="360" w:hanging="360"/>
      </w:pPr>
      <w:r>
        <w:t xml:space="preserve">Centers for Medicare &amp; Medicaid Services. (n.d.). </w:t>
      </w:r>
      <w:r>
        <w:rPr>
          <w:i/>
          <w:iCs/>
        </w:rPr>
        <w:t xml:space="preserve">Local coverage determination: Lumbar MRI (L34220)</w:t>
      </w:r>
      <w:r>
        <w:t xml:space="preserve">. Medicare Coverage Database. </w:t>
      </w:r>
      <w:hyperlink w:history="1" r:id="rId9vb1grumhxvbu5_kxemoe">
        <w:r>
          <w:rPr>
            <w:rStyle w:val="Hyperlink"/>
          </w:rPr>
          <w:t xml:space="preserve">https://www.cms.gov/medicare-coverage-database/view/lcd.aspx?LCDId=34220</w:t>
        </w:r>
      </w:hyperlink>
    </w:p>
    <w:p>
      <w:pPr>
        <w:spacing w:after="120" w:line="276"/>
        <w:ind w:left="360" w:hanging="360"/>
      </w:pPr>
      <w:r>
        <w:t xml:space="preserve">Centers for Medicare &amp; Medicaid Services. (n.d.). </w:t>
      </w:r>
      <w:r>
        <w:rPr>
          <w:i/>
          <w:iCs/>
        </w:rPr>
        <w:t xml:space="preserve">Medicare coverage database</w:t>
      </w:r>
      <w:r>
        <w:t xml:space="preserve">. </w:t>
      </w:r>
      <w:hyperlink w:history="1" r:id="rIdtg4hsb1qz2yrhr6i_bp7l">
        <w:r>
          <w:rPr>
            <w:rStyle w:val="Hyperlink"/>
          </w:rPr>
          <w:t xml:space="preserve">https://www.cms.gov/medicare-coverage-database/</w:t>
        </w:r>
      </w:hyperlink>
    </w:p>
    <w:p>
      <w:pPr>
        <w:spacing w:after="120" w:line="276"/>
        <w:ind w:left="360" w:hanging="360"/>
      </w:pPr>
      <w:r>
        <w:t xml:space="preserve">Centers for Medicare &amp; Medicaid Services. (n.d.). </w:t>
      </w:r>
      <w:r>
        <w:rPr>
          <w:i/>
          <w:iCs/>
        </w:rPr>
        <w:t xml:space="preserve">Telehealth and remote patient monitoring</w:t>
      </w:r>
      <w:r>
        <w:t xml:space="preserve"> (MLN901705). </w:t>
      </w:r>
      <w:hyperlink w:history="1" r:id="rIdstohdk8ieso1ijr4kpeo3">
        <w:r>
          <w:rPr>
            <w:rStyle w:val="Hyperlink"/>
          </w:rPr>
          <w:t xml:space="preserve">https://www.cms.gov/files/document/mln901705-telehealth-remote-monitoring.pdf</w:t>
        </w:r>
      </w:hyperlink>
    </w:p>
    <w:p>
      <w:pPr>
        <w:spacing w:after="120" w:line="276"/>
        <w:ind w:left="360" w:hanging="360"/>
      </w:pPr>
      <w:r>
        <w:t xml:space="preserve">Centers for Medicare &amp; Medicaid Services. (n.d.). </w:t>
      </w:r>
      <w:r>
        <w:rPr>
          <w:i/>
          <w:iCs/>
        </w:rPr>
        <w:t xml:space="preserve">ICD-10-CM official guidelines for coding and reporting</w:t>
      </w:r>
      <w:r>
        <w:t xml:space="preserve">. </w:t>
      </w:r>
      <w:hyperlink w:history="1" r:id="rIdwvwo7qajeajlgj1g1w3ht">
        <w:r>
          <w:rPr>
            <w:rStyle w:val="Hyperlink"/>
          </w:rPr>
          <w:t xml:space="preserve">https://www.cms.gov/medicare/coding-billing/icd-10-codes</w:t>
        </w:r>
      </w:hyperlink>
    </w:p>
    <w:p>
      <w:pPr>
        <w:spacing w:after="120" w:line="276"/>
        <w:ind w:left="360" w:hanging="360"/>
      </w:pPr>
      <w:r>
        <w:t xml:space="preserve">Cotiviti. (2026). </w:t>
      </w:r>
      <w:r>
        <w:rPr>
          <w:i/>
          <w:iCs/>
        </w:rPr>
        <w:t xml:space="preserve">Healthcare analytics solutions</w:t>
      </w:r>
      <w:r>
        <w:t xml:space="preserve">. </w:t>
      </w:r>
      <w:hyperlink w:history="1" r:id="rIdm4bfvusiky94luuow_eoi">
        <w:r>
          <w:rPr>
            <w:rStyle w:val="Hyperlink"/>
          </w:rPr>
          <w:t xml:space="preserve">https://www.cotiviti.com/solutions</w:t>
        </w:r>
      </w:hyperlink>
    </w:p>
    <w:p>
      <w:pPr>
        <w:spacing w:after="120" w:line="276"/>
        <w:ind w:left="360" w:hanging="360"/>
      </w:pPr>
      <w:r>
        <w:t xml:space="preserve">Gao, Y., Xiong, Y., Gao, X., Jia, K., Pan, J., Bi, Y., Dai, Y., Sun, J., &amp; Wang, H. (2023). </w:t>
      </w:r>
      <w:r>
        <w:rPr>
          <w:i/>
          <w:iCs/>
        </w:rPr>
        <w:t xml:space="preserve">Retrieval-augmented generation for large language models: A survey</w:t>
      </w:r>
      <w:r>
        <w:t xml:space="preserve">. arXiv. </w:t>
      </w:r>
      <w:hyperlink w:history="1" r:id="rIdh2pimxs77tdmp4ef0u3kt">
        <w:r>
          <w:rPr>
            <w:rStyle w:val="Hyperlink"/>
          </w:rPr>
          <w:t xml:space="preserve">https://arxiv.org/abs/2312.10997</w:t>
        </w:r>
      </w:hyperlink>
    </w:p>
    <w:p>
      <w:pPr>
        <w:spacing w:after="120" w:line="276"/>
        <w:ind w:left="360" w:hanging="360"/>
      </w:pPr>
      <w:r>
        <w:t xml:space="preserve">Ji, Z., Lee, N., Frieske, R., Yu, T., Su, D., Xu, Y., Ishii, E., Bang, Y., Madotto, A., &amp; Fung, P. (2023). Survey of hallucination in natural language generation. </w:t>
      </w:r>
      <w:r>
        <w:rPr>
          <w:i/>
          <w:iCs/>
        </w:rPr>
        <w:t xml:space="preserve">ACM Computing Surveys, 55</w:t>
      </w:r>
      <w:r>
        <w:t xml:space="preserve">(12), 1-38. </w:t>
      </w:r>
      <w:hyperlink w:history="1" r:id="rIdx5felpxtbwasn-bh1iv25">
        <w:r>
          <w:rPr>
            <w:rStyle w:val="Hyperlink"/>
          </w:rPr>
          <w:t xml:space="preserve">https://doi.org/10.1145/3571730</w:t>
        </w:r>
      </w:hyperlink>
    </w:p>
    <w:p>
      <w:pPr>
        <w:spacing w:after="120" w:line="276"/>
        <w:ind w:left="360" w:hanging="360"/>
      </w:pPr>
      <w:r>
        <w:t xml:space="preserve">Lewis, P., Perez, E., Piktus, A., Petroni, F., Karpukhin, V., Goyal, N., Kuttler, H., Lewis, M., Yih, W., Rocktaschel, T., Riedel, S., &amp; Kiela, D. (2020). Retrieval-augmented generation for knowledge-intensive NLP tasks. </w:t>
      </w:r>
      <w:r>
        <w:rPr>
          <w:i/>
          <w:iCs/>
        </w:rPr>
        <w:t xml:space="preserve">Advances in Neural Information Processing Systems, 33</w:t>
      </w:r>
      <w:r>
        <w:t xml:space="preserve">. </w:t>
      </w:r>
      <w:hyperlink w:history="1" r:id="rIdlut7uijb3ehzuezjn2lac">
        <w:r>
          <w:rPr>
            <w:rStyle w:val="Hyperlink"/>
          </w:rPr>
          <w:t xml:space="preserve">https://arxiv.org/abs/2005.11401</w:t>
        </w:r>
      </w:hyperlink>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Calibri" w:cs="Calibri" w:eastAsia="Calibri" w:hAnsi="Calibri"/>
      <w:b/>
      <w:bCs/>
      <w:color w:val="6D28D9"/>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vb1grumhxvbu5_kxemoe" Type="http://schemas.openxmlformats.org/officeDocument/2006/relationships/hyperlink" Target="https://www.cms.gov/medicare-coverage-database/view/lcd.aspx?LCDId=34220" TargetMode="External"/><Relationship Id="rIdtg4hsb1qz2yrhr6i_bp7l" Type="http://schemas.openxmlformats.org/officeDocument/2006/relationships/hyperlink" Target="https://www.cms.gov/medicare-coverage-database/" TargetMode="External"/><Relationship Id="rIdstohdk8ieso1ijr4kpeo3" Type="http://schemas.openxmlformats.org/officeDocument/2006/relationships/hyperlink" Target="https://www.cms.gov/files/document/mln901705-telehealth-remote-monitoring.pdf" TargetMode="External"/><Relationship Id="rIdwvwo7qajeajlgj1g1w3ht" Type="http://schemas.openxmlformats.org/officeDocument/2006/relationships/hyperlink" Target="https://www.cms.gov/medicare/coding-billing/icd-10-codes" TargetMode="External"/><Relationship Id="rIdm4bfvusiky94luuow_eoi" Type="http://schemas.openxmlformats.org/officeDocument/2006/relationships/hyperlink" Target="https://www.cotiviti.com/solutions" TargetMode="External"/><Relationship Id="rIdh2pimxs77tdmp4ef0u3kt" Type="http://schemas.openxmlformats.org/officeDocument/2006/relationships/hyperlink" Target="https://arxiv.org/abs/2312.10997" TargetMode="External"/><Relationship Id="rIdx5felpxtbwasn-bh1iv25" Type="http://schemas.openxmlformats.org/officeDocument/2006/relationships/hyperlink" Target="https://doi.org/10.1145/3571730" TargetMode="External"/><Relationship Id="rIdlut7uijb3ehzuezjn2lac" Type="http://schemas.openxmlformats.org/officeDocument/2006/relationships/hyperlink" Target="https://arxiv.org/abs/2005.11401"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2026-07-05T06:26:10.813Z</dcterms:created>
  <dcterms:modified xsi:type="dcterms:W3CDTF">2026-07-05T06:26:10.814Z</dcterms:modified>
</cp:coreProperties>
</file>

<file path=docProps/custom.xml><?xml version="1.0" encoding="utf-8"?>
<Properties xmlns="http://schemas.openxmlformats.org/officeDocument/2006/custom-properties" xmlns:vt="http://schemas.openxmlformats.org/officeDocument/2006/docPropsVTypes"/>
</file>