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0"/>
          <w:szCs w:val="30"/>
        </w:rPr>
        <w:t xml:space="preserve">Content Management in Healthcare:</w:t>
      </w:r>
    </w:p>
    <w:p>
      <w:pPr>
        <w:spacing w:after="160"/>
      </w:pPr>
      <w:r>
        <w:rPr>
          <w:b/>
          <w:bCs/>
          <w:sz w:val="30"/>
          <w:szCs w:val="30"/>
        </w:rPr>
        <w:t xml:space="preserve">Turning Written Policy into Answers a Payer Can Trust</w:t>
      </w:r>
    </w:p>
    <w:p>
      <w:pPr>
        <w:spacing w:after="240"/>
      </w:pPr>
      <w:r>
        <w:rPr>
          <w:i/>
          <w:iCs/>
          <w:color w:val="5C6472"/>
        </w:rPr>
        <w:t xml:space="preserve">Iyman Ahmed   |   Cotiviti Generative AI Research Engineer Intern Assessment, Topic 3   |   July 2026</w:t>
      </w:r>
    </w:p>
    <w:p>
      <w:pPr>
        <w:spacing w:after="140" w:line="276"/>
      </w:pPr>
      <w:r>
        <w:t xml:space="preserve">Almost every decision in healthcare payment traces back to a written rule. Whether a service is covered, which code is correct, what a health plan agreed to pay, and how a clinical guideline defines medical necessity are all questions that documents answer. Those documents are long, they overlap, and they change on their own schedules. Content management in healthcare is the work of keeping this body of policy organized, current, and usable at the exact moment a person or a system needs an answer. For a payment integrity company like Cotiviti, that work sits close to the core of the business, because a wrong reading of a coverage rule is not a filing mistake. It is a claim paid that should have been denied, or a member and a provider treated unfairly.</w:t>
      </w:r>
    </w:p>
    <w:p>
      <w:pPr>
        <w:spacing w:after="140" w:line="276"/>
      </w:pPr>
      <w:r>
        <w:t xml:space="preserve">The hard part is not storing the documents. It is answering questions with them under time pressure. An analyst who wants to know whether a lumbar MRI is covered after two weeks of back pain has to find the right Local Coverage Determination, read past the parts that do not apply, and hold several rules in mind at once. Coverage policies, coding requirements, clinical guidelines, and payer provider contracts each carry their own language, and they rarely line up neatly. When a policy is revised, someone still has to notice what changed and decide which claims are affected. For a long time this has relied on search that matches keywords rather than meaning, so the burden of interpretation stays with the person. That is slow, it is uneven from one analyst to the next, and it does not scale as the rule library grows.</w:t>
      </w:r>
    </w:p>
    <w:p>
      <w:pPr>
        <w:pStyle w:val="Heading1"/>
        <w:spacing w:after="110" w:before="220"/>
      </w:pPr>
      <w:r>
        <w:rPr>
          <w:b/>
          <w:bCs/>
        </w:rPr>
        <w:t xml:space="preserve">Where the technology is heading</w:t>
      </w:r>
    </w:p>
    <w:p>
      <w:pPr>
        <w:spacing w:after="140" w:line="276"/>
      </w:pPr>
      <w:r>
        <w:t xml:space="preserve">The technology that touches this problem has moved quickly. Clinical language processing began with rules and pattern matching, and it now leans on large models that can read, summarize, and compare policy in plain language. The most important shift for a payer is retrieval augmented generation, which grounds a model's answer in retrieved source text and returns a citation next to it, so the answer can be checked instead of trusted blindly. Around that core, three capabilities are maturing at once. A model can summarize a dense policy into something an analyst reads in seconds. It can compare two versions of a rule and describe in plain words what tightened, loosened, or was newly added. And it is starting to convert written policy into structured rules and features that a downstream system can act on, which is the real bridge between a document and an automated payment edit.</w:t>
      </w:r>
    </w:p>
    <w:p>
      <w:pPr>
        <w:pStyle w:val="Heading1"/>
        <w:spacing w:after="110" w:before="220"/>
      </w:pPr>
      <w:r>
        <w:rPr>
          <w:b/>
          <w:bCs/>
        </w:rPr>
        <w:t xml:space="preserve">Opportunities and threats</w:t>
      </w:r>
    </w:p>
    <w:p>
      <w:pPr>
        <w:spacing w:after="140" w:line="276"/>
      </w:pPr>
      <w:r>
        <w:t xml:space="preserve">For Cotiviti the opportunity is direct. Grounded question answering turns minutes of policy research into seconds and attaches a source to every answer, which is exactly the evidence a payment integrity review needs. The same approach can read a claim against a coverage policy and lay out which requirements are met and which are not, which is close to how an analyst already adjudicates. Change detection can watch a living policy library and flag revisions before they lead to incorrect payments. The threats are just as concrete and deserve equal weight. A model that invents a code or a coverage rule is worse than no tool at all, because it produces a confident answer that happens to be wrong inside a workflow where compliance matters. Policy also goes stale, so answers have to track the current source of truth rather than an old snapshot. And automation without a human reviewer on payment decisions simply invites mistakes at scale. The lesson is that grounding, provenance, and a willingness to say nothing when the evidence is thin are not extras. They are the product.</w:t>
      </w:r>
    </w:p>
    <w:p>
      <w:pPr>
        <w:pStyle w:val="Heading1"/>
        <w:spacing w:after="110" w:before="220"/>
      </w:pPr>
      <w:r>
        <w:rPr>
          <w:b/>
          <w:bCs/>
        </w:rPr>
        <w:t xml:space="preserve">A recommendation for Cotiviti</w:t>
      </w:r>
    </w:p>
    <w:p>
      <w:pPr>
        <w:spacing w:after="140" w:line="276"/>
      </w:pPr>
      <w:r>
        <w:t xml:space="preserve">My recommendation is to treat trust as the feature and to start narrow. Cotiviti should pilot a retrieval grounded, human in the loop policy assistant on one bounded coding domain, measure the two things that actually matter, which are the time an analyst takes to reach a cited answer and the accuracy of those citations, and only then widen the scope to change detection and to converting policy into machine readable rules. To make this concrete, I built a small working prototype for this assessment. It answers policy questions with citations, it refuses when the evidence is not present rather than guessing, and it adjudicates sample claims against a real coverage determination while showing the exact policy line it relied on. It runs entirely on a local model at no API cost, which keeps sensitive content on the machine. The prototype is deliberately simple, but it proves the first principle that should guide any larger effort. When an answer decides a payment, the system has to show its work, and it has to know when to stay quiet.</w:t>
      </w:r>
    </w:p>
    <w:p>
      <w:pPr>
        <w:spacing w:after="140" w:line="276"/>
      </w:pPr>
      <w:r>
        <w:t xml:space="preserve">A pilot like this compounds over time. Once the assistant earns trust on a narrow domain, the same retrieval and grounding layer extends to the next set of policies without rebuilding anything, and the citations it produces become a signal for measuring where the model is still weak. The version tracking that powers change detection doubles as an audit trail, which is valuable on its own in a regulated setting. None of this needs a large model or a large budget to begin. What it needs is discipline about provenance and a clear line about where a person, and not a model, makes the final call. That is a position Cotiviti is unusually well placed to take, because the company already works at the meeting point of policy, claims, and the confidence that payers and providers place in an accurate result.</w:t>
      </w:r>
    </w:p>
    <w:p>
      <w:r>
        <w:br w:type="page"/>
      </w:r>
    </w:p>
    <w:p>
      <w:pPr>
        <w:pStyle w:val="Heading1"/>
        <w:spacing w:after="160"/>
      </w:pPr>
      <w:r>
        <w:rPr>
          <w:b/>
          <w:bCs/>
        </w:rPr>
        <w:t xml:space="preserve">References</w:t>
      </w:r>
    </w:p>
    <w:p>
      <w:pPr>
        <w:spacing w:after="120" w:line="276"/>
        <w:ind w:left="360" w:hanging="360"/>
      </w:pPr>
      <w:r>
        <w:t xml:space="preserve">Centers for Medicare &amp; Medicaid Services. (n.d.). </w:t>
      </w:r>
      <w:r>
        <w:rPr>
          <w:i/>
          <w:iCs/>
        </w:rPr>
        <w:t xml:space="preserve">Local coverage determination: Lumbar MRI (L34220)</w:t>
      </w:r>
      <w:r>
        <w:t xml:space="preserve">. Medicare Coverage Database. </w:t>
      </w:r>
      <w:hyperlink w:history="1" r:id="rIdpfbvcv1av3oez4ka1tbds">
        <w:r>
          <w:rPr>
            <w:rStyle w:val="Hyperlink"/>
          </w:rPr>
          <w:t xml:space="preserve">https://www.cms.gov/medicare-coverage-database/view/lcd.aspx?LCDId=34220</w:t>
        </w:r>
      </w:hyperlink>
    </w:p>
    <w:p>
      <w:pPr>
        <w:spacing w:after="120" w:line="276"/>
        <w:ind w:left="360" w:hanging="360"/>
      </w:pPr>
      <w:r>
        <w:t xml:space="preserve">Centers for Medicare &amp; Medicaid Services. (n.d.). </w:t>
      </w:r>
      <w:r>
        <w:rPr>
          <w:i/>
          <w:iCs/>
        </w:rPr>
        <w:t xml:space="preserve">Medicare coverage database</w:t>
      </w:r>
      <w:r>
        <w:t xml:space="preserve">. </w:t>
      </w:r>
      <w:hyperlink w:history="1" r:id="rIdeif783c48wvyvibrs_mvh">
        <w:r>
          <w:rPr>
            <w:rStyle w:val="Hyperlink"/>
          </w:rPr>
          <w:t xml:space="preserve">https://www.cms.gov/medicare-coverage-database/</w:t>
        </w:r>
      </w:hyperlink>
    </w:p>
    <w:p>
      <w:pPr>
        <w:spacing w:after="120" w:line="276"/>
        <w:ind w:left="360" w:hanging="360"/>
      </w:pPr>
      <w:r>
        <w:t xml:space="preserve">Centers for Medicare &amp; Medicaid Services. (n.d.). </w:t>
      </w:r>
      <w:r>
        <w:rPr>
          <w:i/>
          <w:iCs/>
        </w:rPr>
        <w:t xml:space="preserve">Telehealth and remote patient monitoring</w:t>
      </w:r>
      <w:r>
        <w:t xml:space="preserve"> (MLN901705). </w:t>
      </w:r>
      <w:hyperlink w:history="1" r:id="rIdevyo-m1vgowg8gmp1pnje">
        <w:r>
          <w:rPr>
            <w:rStyle w:val="Hyperlink"/>
          </w:rPr>
          <w:t xml:space="preserve">https://www.cms.gov/files/document/mln901705-telehealth-remote-monitoring.pdf</w:t>
        </w:r>
      </w:hyperlink>
    </w:p>
    <w:p>
      <w:pPr>
        <w:spacing w:after="120" w:line="276"/>
        <w:ind w:left="360" w:hanging="360"/>
      </w:pPr>
      <w:r>
        <w:t xml:space="preserve">Centers for Medicare &amp; Medicaid Services. (n.d.). </w:t>
      </w:r>
      <w:r>
        <w:rPr>
          <w:i/>
          <w:iCs/>
        </w:rPr>
        <w:t xml:space="preserve">ICD-10-CM official guidelines for coding and reporting</w:t>
      </w:r>
      <w:r>
        <w:t xml:space="preserve">. </w:t>
      </w:r>
      <w:hyperlink w:history="1" r:id="rId2ju1cmfkre3sb--v6e3b0">
        <w:r>
          <w:rPr>
            <w:rStyle w:val="Hyperlink"/>
          </w:rPr>
          <w:t xml:space="preserve">https://www.cms.gov/medicare/coding-billing/icd-10-codes</w:t>
        </w:r>
      </w:hyperlink>
    </w:p>
    <w:p>
      <w:pPr>
        <w:spacing w:after="120" w:line="276"/>
        <w:ind w:left="360" w:hanging="360"/>
      </w:pPr>
      <w:r>
        <w:t xml:space="preserve">Cotiviti. (2026). </w:t>
      </w:r>
      <w:r>
        <w:rPr>
          <w:i/>
          <w:iCs/>
        </w:rPr>
        <w:t xml:space="preserve">Healthcare analytics solutions</w:t>
      </w:r>
      <w:r>
        <w:t xml:space="preserve">. </w:t>
      </w:r>
      <w:hyperlink w:history="1" r:id="rIdmx1uafeilena-d23sbra_">
        <w:r>
          <w:rPr>
            <w:rStyle w:val="Hyperlink"/>
          </w:rPr>
          <w:t xml:space="preserve">https://www.cotiviti.com/solutions</w:t>
        </w:r>
      </w:hyperlink>
    </w:p>
    <w:p>
      <w:pPr>
        <w:spacing w:after="120" w:line="276"/>
        <w:ind w:left="360" w:hanging="360"/>
      </w:pPr>
      <w:r>
        <w:t xml:space="preserve">Gao, Y., Xiong, Y., Gao, X., Jia, K., Pan, J., Bi, Y., Dai, Y., Sun, J., &amp; Wang, H. (2023). </w:t>
      </w:r>
      <w:r>
        <w:rPr>
          <w:i/>
          <w:iCs/>
        </w:rPr>
        <w:t xml:space="preserve">Retrieval-augmented generation for large language models: A survey</w:t>
      </w:r>
      <w:r>
        <w:t xml:space="preserve">. arXiv. </w:t>
      </w:r>
      <w:hyperlink w:history="1" r:id="rIdk_kt2cv-gzs8q3kvzyj5z">
        <w:r>
          <w:rPr>
            <w:rStyle w:val="Hyperlink"/>
          </w:rPr>
          <w:t xml:space="preserve">https://arxiv.org/abs/2312.10997</w:t>
        </w:r>
      </w:hyperlink>
    </w:p>
    <w:p>
      <w:pPr>
        <w:spacing w:after="120" w:line="276"/>
        <w:ind w:left="360" w:hanging="360"/>
      </w:pPr>
      <w:r>
        <w:t xml:space="preserve">Ji, Z., Lee, N., Frieske, R., Yu, T., Su, D., Xu, Y., Ishii, E., Bang, Y., Madotto, A., &amp; Fung, P. (2023). Survey of hallucination in natural language generation. </w:t>
      </w:r>
      <w:r>
        <w:rPr>
          <w:i/>
          <w:iCs/>
        </w:rPr>
        <w:t xml:space="preserve">ACM Computing Surveys, 55</w:t>
      </w:r>
      <w:r>
        <w:t xml:space="preserve">(12), 1-38. </w:t>
      </w:r>
      <w:hyperlink w:history="1" r:id="rIdvbtiakibarctpc-jnm2-f">
        <w:r>
          <w:rPr>
            <w:rStyle w:val="Hyperlink"/>
          </w:rPr>
          <w:t xml:space="preserve">https://doi.org/10.1145/3571730</w:t>
        </w:r>
      </w:hyperlink>
    </w:p>
    <w:p>
      <w:pPr>
        <w:spacing w:after="120" w:line="276"/>
        <w:ind w:left="360" w:hanging="360"/>
      </w:pPr>
      <w:r>
        <w:t xml:space="preserve">Lewis, P., Perez, E., Piktus, A., Petroni, F., Karpukhin, V., Goyal, N., Kuttler, H., Lewis, M., Yih, W., Rocktaschel, T., Riedel, S., &amp; Kiela, D. (2020). Retrieval-augmented generation for knowledge-intensive NLP tasks. </w:t>
      </w:r>
      <w:r>
        <w:rPr>
          <w:i/>
          <w:iCs/>
        </w:rPr>
        <w:t xml:space="preserve">Advances in Neural Information Processing Systems, 33</w:t>
      </w:r>
      <w:r>
        <w:t xml:space="preserve">. </w:t>
      </w:r>
      <w:hyperlink w:history="1" r:id="rIdyqtsvhrgarj07990xec3p">
        <w:r>
          <w:rPr>
            <w:rStyle w:val="Hyperlink"/>
          </w:rPr>
          <w:t xml:space="preserve">https://arxiv.org/abs/2005.11401</w:t>
        </w:r>
      </w:hyperlink>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outlineLvl w:val="0"/>
    </w:pPr>
    <w:rPr>
      <w:rFonts w:ascii="Calibri" w:cs="Calibri" w:eastAsia="Calibri" w:hAnsi="Calibri"/>
      <w:b/>
      <w:bCs/>
      <w:color w:val="6D28D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bvcv1av3oez4ka1tbds" Type="http://schemas.openxmlformats.org/officeDocument/2006/relationships/hyperlink" Target="https://www.cms.gov/medicare-coverage-database/view/lcd.aspx?LCDId=34220" TargetMode="External"/><Relationship Id="rIdeif783c48wvyvibrs_mvh" Type="http://schemas.openxmlformats.org/officeDocument/2006/relationships/hyperlink" Target="https://www.cms.gov/medicare-coverage-database/" TargetMode="External"/><Relationship Id="rIdevyo-m1vgowg8gmp1pnje" Type="http://schemas.openxmlformats.org/officeDocument/2006/relationships/hyperlink" Target="https://www.cms.gov/files/document/mln901705-telehealth-remote-monitoring.pdf" TargetMode="External"/><Relationship Id="rId2ju1cmfkre3sb--v6e3b0" Type="http://schemas.openxmlformats.org/officeDocument/2006/relationships/hyperlink" Target="https://www.cms.gov/medicare/coding-billing/icd-10-codes" TargetMode="External"/><Relationship Id="rIdmx1uafeilena-d23sbra_" Type="http://schemas.openxmlformats.org/officeDocument/2006/relationships/hyperlink" Target="https://www.cotiviti.com/solutions" TargetMode="External"/><Relationship Id="rIdk_kt2cv-gzs8q3kvzyj5z" Type="http://schemas.openxmlformats.org/officeDocument/2006/relationships/hyperlink" Target="https://arxiv.org/abs/2312.10997" TargetMode="External"/><Relationship Id="rIdvbtiakibarctpc-jnm2-f" Type="http://schemas.openxmlformats.org/officeDocument/2006/relationships/hyperlink" Target="https://doi.org/10.1145/3571730" TargetMode="External"/><Relationship Id="rIdyqtsvhrgarj07990xec3p" Type="http://schemas.openxmlformats.org/officeDocument/2006/relationships/hyperlink" Target="https://arxiv.org/abs/2005.11401"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2026-07-04T19:05:18.327Z</dcterms:created>
  <dcterms:modified xsi:type="dcterms:W3CDTF">2026-07-04T19:05:18.328Z</dcterms:modified>
</cp:coreProperties>
</file>

<file path=docProps/custom.xml><?xml version="1.0" encoding="utf-8"?>
<Properties xmlns="http://schemas.openxmlformats.org/officeDocument/2006/custom-properties" xmlns:vt="http://schemas.openxmlformats.org/officeDocument/2006/docPropsVTypes"/>
</file>