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Content Management in Healthcare:</w:t>
      </w:r>
    </w:p>
    <w:p>
      <w:pPr>
        <w:spacing w:after="120"/>
      </w:pPr>
      <w:r>
        <w:rPr>
          <w:b/>
          <w:bCs/>
          <w:color w:val="6D28D9"/>
          <w:sz w:val="26"/>
          <w:szCs w:val="26"/>
        </w:rPr>
        <w:t xml:space="preserve">Retrieval-Augmented Generation for Billing and Coding Policy</w:t>
      </w:r>
    </w:p>
    <w:p>
      <w:pPr>
        <w:spacing w:after="200"/>
      </w:pPr>
      <w:r>
        <w:rPr>
          <w:i/>
          <w:iCs/>
          <w:color w:val="555555"/>
          <w:sz w:val="20"/>
          <w:szCs w:val="20"/>
        </w:rPr>
        <w:t xml:space="preserve">Iyman Ahmed  •  Cotiviti Generative AI Research Engineer Intern Assessment — Topic 3</w:t>
      </w:r>
    </w:p>
    <w:p>
      <w:pPr>
        <w:pStyle w:val="Heading1"/>
        <w:spacing w:after="120" w:before="200"/>
      </w:pPr>
      <w:r>
        <w:rPr>
          <w:b/>
          <w:bCs/>
        </w:rPr>
        <w:t xml:space="preserve">Defining the Concept</w:t>
      </w:r>
    </w:p>
    <w:p>
      <w:pPr>
        <w:spacing w:after="120" w:line="276"/>
      </w:pPr>
      <w:r>
        <w:t xml:space="preserve">Content management in healthcare refers to how payers and providers create, store, maintain, interpret, and operationalize the large body of written knowledge that governs reimbursement and care: billing and coding policies, clinical practice guidelines, payer–provider contracts, and national and local coverage determinations. Unlike ordinary content, this material is high-stakes, frequently revised, and binding. A single change to a Local Coverage Determination (LCD) or an annual ICD-10-CM update can change whether a claim is paid. Today much of this content lives in siloed PDFs and manuals that are reviewed by hand, which makes it slow to search, hard to compare across versions, and difficult to convert into the structured rules that automated payment systems consume.</w:t>
      </w:r>
    </w:p>
    <w:p>
      <w:pPr>
        <w:pStyle w:val="Heading1"/>
        <w:spacing w:after="120" w:before="200"/>
      </w:pPr>
      <w:r>
        <w:rPr>
          <w:b/>
          <w:bCs/>
        </w:rPr>
        <w:t xml:space="preserve">Trends</w:t>
      </w:r>
    </w:p>
    <w:p>
      <w:pPr>
        <w:spacing w:after="120" w:line="276"/>
      </w:pPr>
      <w:r>
        <w:t xml:space="preserve">Three trends are converging. First, large language models (LLMs) now summarize and answer questions over long policy documents with near-human fluency. Second, </w:t>
      </w:r>
      <w:r>
        <w:rPr>
          <w:b/>
          <w:bCs/>
        </w:rPr>
        <w:t xml:space="preserve">retrieval-augmented generation (RAG)</w:t>
      </w:r>
      <w:r>
        <w:t xml:space="preserve"> — pairing an LLM with a vector database of source documents (Lewis et al., 2020) — has become the dominant pattern for grounding answers in authoritative text and attaching citations, which directly reduces hallucination. Third, organizations increasingly treat </w:t>
      </w:r>
      <w:r>
        <w:rPr>
          <w:b/>
          <w:bCs/>
        </w:rPr>
        <w:t xml:space="preserve">policy-to-rules conversion</w:t>
      </w:r>
      <w:r>
        <w:t xml:space="preserve"> as a machine-learning problem: extracting structured features and decision logic from prose so payment systems can apply them consistently. CMS publishing coverage data in machine-readable form through the Medicare Coverage Database accelerates all three.</w:t>
      </w:r>
    </w:p>
    <w:p>
      <w:pPr>
        <w:pStyle w:val="Heading1"/>
        <w:spacing w:after="120" w:before="200"/>
      </w:pPr>
      <w:r>
        <w:rPr>
          <w:b/>
          <w:bCs/>
        </w:rPr>
        <w:t xml:space="preserve">Opportunities and Threats</w:t>
      </w:r>
    </w:p>
    <w:p>
      <w:pPr>
        <w:spacing w:after="120" w:line="276"/>
      </w:pPr>
      <w:r>
        <w:rPr>
          <w:b/>
          <w:bCs/>
        </w:rPr>
        <w:t xml:space="preserve">Opportunities. </w:t>
      </w:r>
      <w:r>
        <w:t xml:space="preserve">A RAG layer over a payer’s policy library would give coding and payment-integrity analysts instant, cited answers instead of manual document searches, compressing research from minutes to seconds. Automated change-detection between policy versions could flag exactly what tightened or loosened between an LCD’s revisions and estimate the downstream claim impact. Converting written rules into structured deltas (JSON, decision tables) creates reusable assets for adjudication engines and shrinks the lag between a CMS update and its enforcement.</w:t>
      </w:r>
    </w:p>
    <w:p>
      <w:pPr>
        <w:spacing w:after="120" w:line="276"/>
      </w:pPr>
      <w:r>
        <w:rPr>
          <w:b/>
          <w:bCs/>
        </w:rPr>
        <w:t xml:space="preserve">Threats. </w:t>
      </w:r>
      <w:r>
        <w:t xml:space="preserve">The same fluency that makes LLMs useful makes them dangerous in a regulated domain: an unconstrained model can fabricate a coverage rule or a code with complete confidence, creating compliance and financial liability. Source freshness is a second risk — an answer grounded in a retired policy is wrong even when well-formed. Finally, governance and auditability are non-negotiable; any system that influences payment must be able to show its sources and reasoning.</w:t>
      </w:r>
    </w:p>
    <w:p>
      <w:pPr>
        <w:pStyle w:val="Heading1"/>
        <w:spacing w:after="120" w:before="200"/>
      </w:pPr>
      <w:r>
        <w:rPr>
          <w:b/>
          <w:bCs/>
        </w:rPr>
        <w:t xml:space="preserve">Strategic Options for Cotiviti</w:t>
      </w:r>
    </w:p>
    <w:p>
      <w:pPr>
        <w:pStyle w:val="ListParagraph"/>
        <w:numPr>
          <w:ilvl w:val="0"/>
          <w:numId w:val="2"/>
        </w:numPr>
        <w:spacing w:after="100"/>
      </w:pPr>
      <w:r>
        <w:rPr>
          <w:b/>
          <w:bCs/>
        </w:rPr>
        <w:t xml:space="preserve">Citation-grounded policy assistant. </w:t>
      </w:r>
      <w:r>
        <w:t xml:space="preserve">Build an internal RAG assistant over Cotiviti’s proprietary policy library combined with public CMS sources, with mandatory source attribution and an abstention guardrail (“answer only from retrieved policy”). This directly serves payment-integrity and risk-adjustment analysts.</w:t>
      </w:r>
    </w:p>
    <w:p>
      <w:pPr>
        <w:pStyle w:val="ListParagraph"/>
        <w:numPr>
          <w:ilvl w:val="0"/>
          <w:numId w:val="2"/>
        </w:numPr>
        <w:spacing w:after="100"/>
      </w:pPr>
      <w:r>
        <w:rPr>
          <w:b/>
          <w:bCs/>
        </w:rPr>
        <w:t xml:space="preserve">Policy change-detection as a product. </w:t>
      </w:r>
      <w:r>
        <w:t xml:space="preserve">Emit structured, machine-actionable deltas between policy versions to feed both human reviewers and downstream rules engines — a natural extension of Cotiviti’s content and payment-accuracy franchise.</w:t>
      </w:r>
    </w:p>
    <w:p>
      <w:pPr>
        <w:pStyle w:val="ListParagraph"/>
        <w:numPr>
          <w:ilvl w:val="0"/>
          <w:numId w:val="2"/>
        </w:numPr>
        <w:spacing w:after="120"/>
      </w:pPr>
      <w:r>
        <w:rPr>
          <w:b/>
          <w:bCs/>
        </w:rPr>
        <w:t xml:space="preserve">An AI Governance Program. </w:t>
      </w:r>
      <w:r>
        <w:t xml:space="preserve">Anchor both in human-in-the-loop review, evaluation against a labeled benchmark, version and freshness tracking, and full audit trails — turning the accuracy-and-compliance threat into a differentiator.</w:t>
      </w:r>
    </w:p>
    <w:p>
      <w:pPr>
        <w:spacing w:after="120" w:line="276"/>
      </w:pPr>
      <w:r>
        <w:rPr>
          <w:b/>
          <w:bCs/>
        </w:rPr>
        <w:t xml:space="preserve">Recommendation. </w:t>
      </w:r>
      <w:r>
        <w:t xml:space="preserve">Begin with option 1 as a low-cost internal pilot using local models and open vector databases, measured on retrieval precision and analyst time saved, then extend toward option 2.</w:t>
      </w:r>
    </w:p>
    <w:p>
      <w:pPr>
        <w:pStyle w:val="Heading1"/>
        <w:spacing w:after="120" w:before="200"/>
      </w:pPr>
      <w:r>
        <w:rPr>
          <w:b/>
          <w:bCs/>
        </w:rPr>
        <w:t xml:space="preserve">Proof of Concept</w:t>
      </w:r>
    </w:p>
    <w:p>
      <w:pPr>
        <w:spacing w:after="120" w:line="276"/>
      </w:pPr>
      <w:r>
        <w:t xml:space="preserve">To demonstrate first principles, I built a fully local, zero-cost RAG system over real CMS-cited billing and coding policy: a vector database (ChromaDB) of embedded policy chunks, a local LLM served by LM Studio, a citation on every answer, and an abstention guardrail that refuses unsupported questions. A second mode — a Policy Change Detector — compares two policy versions (for example, Medicare telehealth CY2024 vs CY2025) and outputs a structured rule-delta with an illustrative claim impact. Together the demo shows summarization, comparison of content changes, and conversion of policy into structured rules: the three capabilities most relevant to Cotiviti’s content-management mission.</w:t>
      </w:r>
    </w:p>
    <w:p>
      <w:pPr>
        <w:pStyle w:val="Heading1"/>
        <w:pageBreakBefore/>
      </w:pPr>
      <w:r>
        <w:rPr>
          <w:b/>
          <w:bCs/>
        </w:rPr>
        <w:t xml:space="preserve">Bibliography</w:t>
      </w:r>
    </w:p>
    <w:p>
      <w:pPr>
        <w:spacing w:after="100"/>
        <w:ind w:left="360" w:hanging="360"/>
      </w:pPr>
      <w:r>
        <w:t xml:space="preserve">Centers for Medicare &amp; Medicaid Services. (n.d.). </w:t>
      </w:r>
      <w:r>
        <w:rPr>
          <w:i/>
          <w:iCs/>
        </w:rPr>
        <w:t xml:space="preserve">Medicare Coverage Database (MCD)</w:t>
      </w:r>
      <w:r>
        <w:t xml:space="preserve">. </w:t>
      </w:r>
      <w:hyperlink w:history="1" r:id="rIdfhcdc6yezdjkikfpld1g3">
        <w:r>
          <w:rPr>
            <w:rStyle w:val="Hyperlink"/>
          </w:rPr>
          <w:t xml:space="preserve">https://www.cms.gov/medicare-coverage-database/</w:t>
        </w:r>
      </w:hyperlink>
    </w:p>
    <w:p>
      <w:pPr>
        <w:spacing w:after="100"/>
        <w:ind w:left="360" w:hanging="360"/>
      </w:pPr>
      <w:r>
        <w:t xml:space="preserve">Centers for Medicare &amp; Medicaid Services. </w:t>
      </w:r>
      <w:r>
        <w:rPr>
          <w:i/>
          <w:iCs/>
        </w:rPr>
        <w:t xml:space="preserve">Local Coverage Determination: Lumbar MRI (L34220)</w:t>
      </w:r>
      <w:r>
        <w:t xml:space="preserve">. </w:t>
      </w:r>
      <w:hyperlink w:history="1" r:id="rId7chal0ezlrqjs4tgzmwlu">
        <w:r>
          <w:rPr>
            <w:rStyle w:val="Hyperlink"/>
          </w:rPr>
          <w:t xml:space="preserve">https://www.cms.gov/medicare-coverage-database/view/lcd.aspx?LCDId=34220</w:t>
        </w:r>
      </w:hyperlink>
    </w:p>
    <w:p>
      <w:pPr>
        <w:spacing w:after="100"/>
        <w:ind w:left="360" w:hanging="360"/>
      </w:pPr>
      <w:r>
        <w:t xml:space="preserve">Centers for Medicare &amp; Medicaid Services. </w:t>
      </w:r>
      <w:r>
        <w:rPr>
          <w:i/>
          <w:iCs/>
        </w:rPr>
        <w:t xml:space="preserve">Telehealth &amp; Remote Monitoring (MLN901705)</w:t>
      </w:r>
      <w:r>
        <w:t xml:space="preserve">. </w:t>
      </w:r>
      <w:hyperlink w:history="1" r:id="rIddseaq9tbw6szgqopk_qhc">
        <w:r>
          <w:rPr>
            <w:rStyle w:val="Hyperlink"/>
          </w:rPr>
          <w:t xml:space="preserve">https://www.cms.gov/files/document/mln901705-telehealth-remote-monitoring.pdf</w:t>
        </w:r>
      </w:hyperlink>
    </w:p>
    <w:p>
      <w:pPr>
        <w:spacing w:after="100"/>
        <w:ind w:left="360" w:hanging="360"/>
      </w:pPr>
      <w:r>
        <w:t xml:space="preserve">Centers for Medicare &amp; Medicaid Services. </w:t>
      </w:r>
      <w:r>
        <w:rPr>
          <w:i/>
          <w:iCs/>
        </w:rPr>
        <w:t xml:space="preserve">ICD-10-CM code set and official guidelines</w:t>
      </w:r>
      <w:r>
        <w:t xml:space="preserve">. </w:t>
      </w:r>
      <w:hyperlink w:history="1" r:id="rIdr0qx4xqkl_wiohadwcit7">
        <w:r>
          <w:rPr>
            <w:rStyle w:val="Hyperlink"/>
          </w:rPr>
          <w:t xml:space="preserve">https://www.cms.gov/medicare/coding-billing/icd-10-codes</w:t>
        </w:r>
      </w:hyperlink>
    </w:p>
    <w:p>
      <w:pPr>
        <w:spacing w:after="100"/>
        <w:ind w:left="360" w:hanging="360"/>
      </w:pPr>
      <w:r>
        <w:t xml:space="preserve">Cotiviti. (2026). </w:t>
      </w:r>
      <w:r>
        <w:rPr>
          <w:i/>
          <w:iCs/>
        </w:rPr>
        <w:t xml:space="preserve">Healthcare analytics solutions</w:t>
      </w:r>
      <w:r>
        <w:t xml:space="preserve">. </w:t>
      </w:r>
      <w:hyperlink w:history="1" r:id="rIdrsoktjsifd8qpnkqivxcv">
        <w:r>
          <w:rPr>
            <w:rStyle w:val="Hyperlink"/>
          </w:rPr>
          <w:t xml:space="preserve">https://www.cotiviti.com/solutions</w:t>
        </w:r>
      </w:hyperlink>
    </w:p>
    <w:p>
      <w:pPr>
        <w:spacing w:after="100"/>
        <w:ind w:left="360" w:hanging="360"/>
      </w:pPr>
      <w:r>
        <w:t xml:space="preserve">Edifecs. (2025). </w:t>
      </w:r>
      <w:r>
        <w:rPr>
          <w:i/>
          <w:iCs/>
        </w:rPr>
        <w:t xml:space="preserve">Cotiviti completes acquisition of Edifecs</w:t>
      </w:r>
      <w:r>
        <w:t xml:space="preserve">. </w:t>
      </w:r>
      <w:hyperlink w:history="1" r:id="rIdxscvqgc-myp01l8lo4-lv">
        <w:r>
          <w:rPr>
            <w:rStyle w:val="Hyperlink"/>
          </w:rPr>
          <w:t xml:space="preserve">https://www.edifecs.com/newsroom/2025-cotiviti-completes-acquisition-of-edifecs</w:t>
        </w:r>
      </w:hyperlink>
    </w:p>
    <w:p>
      <w:pPr>
        <w:spacing w:after="100"/>
        <w:ind w:left="360" w:hanging="360"/>
      </w:pPr>
      <w:r>
        <w:t xml:space="preserve">Gao, Y., et al. (2023). Retrieval-augmented generation for large language models: A survey. </w:t>
      </w:r>
      <w:hyperlink w:history="1" r:id="rIdur_ehyot6-kdqi0tgexl0">
        <w:r>
          <w:rPr>
            <w:rStyle w:val="Hyperlink"/>
          </w:rPr>
          <w:t xml:space="preserve">https://arxiv.org/abs/2312.10997</w:t>
        </w:r>
      </w:hyperlink>
    </w:p>
    <w:p>
      <w:pPr>
        <w:spacing w:after="100"/>
        <w:ind w:left="360" w:hanging="360"/>
      </w:pPr>
      <w:r>
        <w:t xml:space="preserve">Lewis, P., et al. (2020). Retrieval-augmented generation for knowledge-intensive NLP tasks. </w:t>
      </w:r>
      <w:r>
        <w:rPr>
          <w:i/>
          <w:iCs/>
        </w:rPr>
        <w:t xml:space="preserve">Advances in Neural Information Processing Systems, 33</w:t>
      </w:r>
      <w:r>
        <w:t xml:space="preserve">. </w:t>
      </w:r>
      <w:hyperlink w:history="1" r:id="rIdbybs47ngs_aojosv2tlw-">
        <w:r>
          <w:rPr>
            <w:rStyle w:val="Hyperlink"/>
          </w:rPr>
          <w:t xml:space="preserve">https://arxiv.org/abs/2005.11401</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6D28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hcdc6yezdjkikfpld1g3" Type="http://schemas.openxmlformats.org/officeDocument/2006/relationships/hyperlink" Target="https://www.cms.gov/medicare-coverage-database/" TargetMode="External"/><Relationship Id="rId7chal0ezlrqjs4tgzmwlu" Type="http://schemas.openxmlformats.org/officeDocument/2006/relationships/hyperlink" Target="https://www.cms.gov/medicare-coverage-database/view/lcd.aspx?LCDId=34220" TargetMode="External"/><Relationship Id="rIddseaq9tbw6szgqopk_qhc" Type="http://schemas.openxmlformats.org/officeDocument/2006/relationships/hyperlink" Target="https://www.cms.gov/files/document/mln901705-telehealth-remote-monitoring.pdf" TargetMode="External"/><Relationship Id="rIdr0qx4xqkl_wiohadwcit7" Type="http://schemas.openxmlformats.org/officeDocument/2006/relationships/hyperlink" Target="https://www.cms.gov/medicare/coding-billing/icd-10-codes" TargetMode="External"/><Relationship Id="rIdrsoktjsifd8qpnkqivxcv" Type="http://schemas.openxmlformats.org/officeDocument/2006/relationships/hyperlink" Target="https://www.cotiviti.com/solutions" TargetMode="External"/><Relationship Id="rIdxscvqgc-myp01l8lo4-lv" Type="http://schemas.openxmlformats.org/officeDocument/2006/relationships/hyperlink" Target="https://www.edifecs.com/newsroom/2025-cotiviti-completes-acquisition-of-edifecs" TargetMode="External"/><Relationship Id="rIdur_ehyot6-kdqi0tgexl0" Type="http://schemas.openxmlformats.org/officeDocument/2006/relationships/hyperlink" Target="https://arxiv.org/abs/2312.10997" TargetMode="External"/><Relationship Id="rIdbybs47ngs_aojosv2tlw-" Type="http://schemas.openxmlformats.org/officeDocument/2006/relationships/hyperlink" Target="https://arxiv.org/abs/2005.11401"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2026-06-29T18:10:56.301Z</dcterms:created>
  <dcterms:modified xsi:type="dcterms:W3CDTF">2026-06-29T18:10:56.302Z</dcterms:modified>
</cp:coreProperties>
</file>

<file path=docProps/custom.xml><?xml version="1.0" encoding="utf-8"?>
<Properties xmlns="http://schemas.openxmlformats.org/officeDocument/2006/custom-properties" xmlns:vt="http://schemas.openxmlformats.org/officeDocument/2006/docPropsVTypes"/>
</file>