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Q=I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11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电能表前后两次读数之差，主要用于确定用电设备在这段时间内的（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白炽灯铭牌上标有“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”，其中这两个数值分别表示（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额定电压、额定功率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实际电压、实际功率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额定电流、额定电阻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实际电流、实际电阻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电路合上开关后，用电器正常工作，若电压和电流保持不变，随通电时间增加而不断增大的是（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电能累计量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某直流电动工具工作时熔断器频繁熔断，若电源电压正常，较可能的原因是（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负载过重使电流增大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开关接触使电压升高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电源稳定使电流减小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导线变短使电阻增大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某定值电阻接入直流电路，当其两端电压增为原来的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倍，且通电时间不变时，下列判断正确的有（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热量增为原来的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车间需要估算一台电加热设备在一段时间内消耗的电能，可采用的方法有（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记录电压、电流、时间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查明铭牌功率、时间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只看导线粗细、长度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读取电能表示数差值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下列关于电功、电功率和电热的表述，正确的有（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电功表示能量转化多少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电功率表示做功快慢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电热表示导体发热多少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电阻表示通电时间长短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一段导线电阻为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导线损耗功率为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导线产生热量为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导线两端电压为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导线消耗电能为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千瓦时是电功率的常用单位。（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用电压表和电流表测量负载功率时，电压表应并联在负载两端，电流表应串联在负载电路中。（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对同一电阻通以恒定电流时，通电时间越长，产生的热量越多。（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插头与插座接触处明显发热，说明用电器的额定功率一定过小。（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简述选择电加热设备连接导线时，为什么要考虑电流和通电时间对发热的影响。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一把电烙铁的额定功率为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，在额定电压下连续使用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。若电费按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>元</w:t>
      </w:r>
      <w:r>
        <w:rPr>
          <w:rFonts w:ascii="Times New Roman" w:hAnsi="Times New Roman" w:eastAsia="Times New Roman"/>
          <w:b w:val="0"/>
          <w:sz w:val="21"/>
        </w:rPr>
        <w:t>/(kW·h)</w:t>
      </w:r>
      <w:r>
        <w:rPr>
          <w:rFonts w:ascii="宋体" w:hAnsi="宋体" w:eastAsia="宋体"/>
          <w:b w:val="0"/>
          <w:sz w:val="21"/>
        </w:rPr>
        <w:t>计算，求：（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）电烙铁消耗的电能；（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）应付电费。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一台额定功率为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的电热器接在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电源上工作，连接导线的总电阻为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。按电热器在额定状态工作计算，求：（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）电路工作电流；（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）连接导线损耗的功率；（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）连接导线产生的热量，并判断是否应注意导线发热。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