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练，内容涵盖理解叠加定理的适用条件（线性电路），会用叠加定理分析多电源电路。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网络定理  第</w:t>
      </w:r>
      <w:r>
        <w:rPr>
          <w:rFonts w:ascii="Times New Roman" w:hAnsi="Times New Roman" w:eastAsia="Times New Roman"/>
          <w:b/>
          <w:sz w:val="28"/>
        </w:rPr>
        <w:t>29</w:t>
      </w:r>
      <w:r>
        <w:rPr>
          <w:rFonts w:ascii="宋体" w:hAnsi="宋体" w:eastAsia="宋体"/>
          <w:b/>
          <w:sz w:val="28"/>
        </w:rPr>
        <w:t>练  叠加定理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在满足齐次性和可加性条件的电阻网络中，多个独立源共同引起的电压或电流可分项求和，该网络应是（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线性网络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非线性网络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磁饱和网络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开关网络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含有受控电压源的线性电路应用叠加定理时，该受控源应（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改接为短路支路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改接为开路支路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随控制量保留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按电阻元件处理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用叠加定理求某电阻两端电压时，首先应明确的是（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各电源功率大小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电阻材料种类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电压参考极性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导线长度数值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某同学用叠加定理分别求出两个电源作用时负载消耗的功率，再把两个功率相加作为总功率，该做法错误的主要原因是（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功率不能直接叠加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电阻不能参与计算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电压不能分项求取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电流不能分项求取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下列电路中，通常可以用叠加定理分析电压或电流的有（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多个直流源的电阻网络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含交流源的线性网络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含饱和铁心的磁路网络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含理想二极管的整流网络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对独立电源进行单独作用分析时，正确的处理方法有（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保留一个独立电压源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保留一个独立电流源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将其他独立电流源开路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将所有受控源短路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比较叠加定理与戴维南定理，下列说法正确的有（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叠加定理分源求响应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戴维南定理等效端口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叠加定理只适合功率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戴维南定理只适合单源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某线性电路中，电源甲单独作用时某支路电压为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，电源乙单独作用时同一参考极性下电压为</w:t>
      </w:r>
      <w:r>
        <w:rPr>
          <w:rFonts w:ascii="Times New Roman" w:hAnsi="Times New Roman" w:eastAsia="Times New Roman"/>
          <w:b w:val="0"/>
          <w:sz w:val="21"/>
        </w:rPr>
        <w:t>-3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，该支路接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电阻。下列结论正确的有（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合成电压为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合成电压为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2.2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在线性电路中，某支路电压由多个独立电源共同产生时，可先分别求各电源作用下的电压分量，再按参考极性合成。（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对含受控源的线性电路使用叠加定理时，受控源也应像独立电源一样逐个单独作用。（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当两个电源单独作用产生的电流方向相反时，合成电流的大小应由代数和确定。（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叠加定理既可以直接求线性电路中的电流，也可以直接求该支路的电功率。（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简述用叠加定理分析含受控源多电源线性电路时的基本要求。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某线性直流电路中，电源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单独作用时，负载电阻两端电压为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；电源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单独作用时，在同一参考极性下该电压为</w:t>
      </w:r>
      <w:r>
        <w:rPr>
          <w:rFonts w:ascii="Times New Roman" w:hAnsi="Times New Roman" w:eastAsia="Times New Roman"/>
          <w:b w:val="0"/>
          <w:sz w:val="21"/>
        </w:rPr>
        <w:t>-4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。已知负载电阻为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，求两个电源共同作用时负载电压和负载电流。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某线性直流网络中，负载电阻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。电源</w:t>
      </w:r>
      <w:r>
        <w:rPr>
          <w:rFonts w:ascii="Times New Roman" w:hAnsi="Times New Roman" w:eastAsia="Times New Roman"/>
          <w:b w:val="0"/>
          <w:sz w:val="21"/>
        </w:rPr>
        <w:t>E1</w:t>
      </w:r>
      <w:r>
        <w:rPr>
          <w:rFonts w:ascii="宋体" w:hAnsi="宋体" w:eastAsia="宋体"/>
          <w:b w:val="0"/>
          <w:sz w:val="21"/>
        </w:rPr>
        <w:t>单独作用时，流过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的电流为</w:t>
      </w:r>
      <w:r>
        <w:rPr>
          <w:rFonts w:ascii="Times New Roman" w:hAnsi="Times New Roman" w:eastAsia="Times New Roman"/>
          <w:b w:val="0"/>
          <w:sz w:val="21"/>
        </w:rPr>
        <w:t>1.5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；电源</w:t>
      </w:r>
      <w:r>
        <w:rPr>
          <w:rFonts w:ascii="Times New Roman" w:hAnsi="Times New Roman" w:eastAsia="Times New Roman"/>
          <w:b w:val="0"/>
          <w:sz w:val="21"/>
        </w:rPr>
        <w:t>E2</w:t>
      </w:r>
      <w:r>
        <w:rPr>
          <w:rFonts w:ascii="宋体" w:hAnsi="宋体" w:eastAsia="宋体"/>
          <w:b w:val="0"/>
          <w:sz w:val="21"/>
        </w:rPr>
        <w:t>单独作用时，在同一参考方向下流过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的电流为</w:t>
      </w:r>
      <w:r>
        <w:rPr>
          <w:rFonts w:ascii="Times New Roman" w:hAnsi="Times New Roman" w:eastAsia="Times New Roman"/>
          <w:b w:val="0"/>
          <w:sz w:val="21"/>
        </w:rPr>
        <w:t>-0.5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）两电源共同作用时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中的电流；（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RL</w:t>
      </w:r>
      <w:r>
        <w:rPr>
          <w:rFonts w:ascii="宋体" w:hAnsi="宋体" w:eastAsia="宋体"/>
          <w:b w:val="0"/>
          <w:sz w:val="21"/>
        </w:rPr>
        <w:t>消耗的功率；（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）若把两个分电流对应的功率直接相加，所得结果是否正确。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