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dashed" w:sz="12" w:space="0" w:color="4472C4"/>
          <w:left w:val="dashed" w:sz="12" w:space="0" w:color="4472C4"/>
          <w:bottom w:val="dashed" w:sz="12" w:space="0" w:color="4472C4"/>
          <w:right w:val="dashed" w:sz="12" w:space="0" w:color="4472C4"/>
        </w:tblBorders>
        <w:tblW w:w="5000" w:type="pct"/>
      </w:tblPr>
      <w:tblGrid>
        <w:gridCol w:w="8300"/>
      </w:tblGrid>
      <w:tr>
        <w:tc>
          <w:tcPr>
            <w:tcW w:type="dxa" w:w="8300"/>
          </w:tcPr>
          <w:p>
            <w:pPr>
              <w:spacing w:line="240" w:lineRule="auto" w:before="80" w:after="80"/>
              <w:ind w:firstLine="420"/>
            </w:pPr>
            <w:r>
              <w:rPr>
                <w:rFonts w:ascii="楷体" w:hAnsi="楷体" w:eastAsia="楷体"/>
                <w:b/>
                <w:color w:val="4472C4"/>
                <w:sz w:val="21"/>
              </w:rPr>
              <w:t>编写说明：考虑到中职学生普遍基础知识相对薄弱的情况，我们依据支架式教学理念，精心编制了内蒙古自治区（高职分类考试）《电工技术基础与技能》（高教版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·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第三版）一课一练。专辑里的每一份练习，都与课堂所授知识点紧密相关，题目围绕课堂所学知识点呈现。目的在于激发学生的学习兴趣，培养他们的学习自觉性，帮助学生扎实掌握课程的基本概念与基本方法，为他们后续的逐步提升奠定坚实基础。</w:t>
            </w:r>
          </w:p>
          <w:p>
            <w:pPr>
              <w:spacing w:line="240" w:lineRule="auto" w:before="80" w:after="80"/>
              <w:ind w:firstLine="420"/>
            </w:pPr>
            <w:r>
              <w:rPr>
                <w:rFonts w:ascii="楷体" w:hAnsi="楷体" w:eastAsia="楷体"/>
                <w:b/>
                <w:color w:val="4472C4"/>
                <w:sz w:val="21"/>
              </w:rPr>
              <w:t>本卷是内蒙古自治区（高职分类考试）《电工技术基础与技能》（高教版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·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第三版）一课一练的第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32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练，内容涵盖理解电压源和电流源模型，掌握两者等效变换的条件和步骤。</w:t>
            </w:r>
          </w:p>
        </w:tc>
      </w:tr>
    </w:tbl>
    <w:p>
      <w:pPr>
        <w:spacing w:before="0" w:after="0"/>
        <w:jc w:val="left"/>
      </w:pPr>
      <w:r>
        <w:drawing>
          <wp:inline xmlns:a="http://schemas.openxmlformats.org/drawingml/2006/main" xmlns:pic="http://schemas.openxmlformats.org/drawingml/2006/picture">
            <wp:extent cx="1655999" cy="5145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parator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55999" cy="5145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360" w:lineRule="auto"/>
        <w:jc w:val="center"/>
      </w:pPr>
      <w:r>
        <w:rPr>
          <w:rFonts w:ascii="宋体" w:hAnsi="宋体" w:eastAsia="宋体"/>
          <w:b/>
          <w:sz w:val="28"/>
        </w:rPr>
        <w:t>内蒙古自治区（高职分类考试）一课一练</w:t>
      </w:r>
    </w:p>
    <w:p>
      <w:pPr>
        <w:spacing w:after="40" w:line="360" w:lineRule="auto"/>
        <w:jc w:val="center"/>
      </w:pPr>
      <w:r>
        <w:rPr>
          <w:rFonts w:ascii="宋体" w:hAnsi="宋体" w:eastAsia="宋体"/>
          <w:b/>
          <w:sz w:val="28"/>
        </w:rPr>
        <w:t>《电工技术基础与技能》（高教版</w:t>
      </w:r>
      <w:r>
        <w:rPr>
          <w:rFonts w:ascii="Times New Roman" w:hAnsi="Times New Roman" w:eastAsia="Times New Roman"/>
          <w:b/>
          <w:sz w:val="28"/>
        </w:rPr>
        <w:t>·</w:t>
      </w:r>
      <w:r>
        <w:rPr>
          <w:rFonts w:ascii="宋体" w:hAnsi="宋体" w:eastAsia="宋体"/>
          <w:b/>
          <w:sz w:val="28"/>
        </w:rPr>
        <w:t>第三版）</w:t>
      </w:r>
    </w:p>
    <w:p>
      <w:pPr>
        <w:spacing w:after="240" w:line="360" w:lineRule="auto"/>
        <w:jc w:val="center"/>
      </w:pPr>
      <w:r>
        <w:rPr>
          <w:rFonts w:ascii="宋体" w:hAnsi="宋体" w:eastAsia="宋体"/>
          <w:b/>
          <w:sz w:val="28"/>
        </w:rPr>
        <w:t>第</w:t>
      </w:r>
      <w:r>
        <w:rPr>
          <w:rFonts w:ascii="Times New Roman" w:hAnsi="Times New Roman" w:eastAsia="Times New Roman"/>
          <w:b/>
          <w:sz w:val="28"/>
        </w:rPr>
        <w:t>2</w:t>
      </w:r>
      <w:r>
        <w:rPr>
          <w:rFonts w:ascii="宋体" w:hAnsi="宋体" w:eastAsia="宋体"/>
          <w:b/>
          <w:sz w:val="28"/>
        </w:rPr>
        <w:t>节 网络定理  第</w:t>
      </w:r>
      <w:r>
        <w:rPr>
          <w:rFonts w:ascii="Times New Roman" w:hAnsi="Times New Roman" w:eastAsia="Times New Roman"/>
          <w:b/>
          <w:sz w:val="28"/>
        </w:rPr>
        <w:t>32</w:t>
      </w:r>
      <w:r>
        <w:rPr>
          <w:rFonts w:ascii="宋体" w:hAnsi="宋体" w:eastAsia="宋体"/>
          <w:b/>
          <w:sz w:val="28"/>
        </w:rPr>
        <w:t>练  两种电源模型的等效变换</w:t>
      </w:r>
      <w:r>
        <w:rPr>
          <w:rFonts w:ascii="Times New Roman" w:hAnsi="Times New Roman" w:eastAsia="Times New Roman"/>
          <w:b/>
          <w:sz w:val="28"/>
        </w:rPr>
        <w:t>(</w:t>
      </w:r>
      <w:r>
        <w:rPr>
          <w:rFonts w:ascii="宋体" w:hAnsi="宋体" w:eastAsia="宋体"/>
          <w:b/>
          <w:sz w:val="28"/>
        </w:rPr>
        <w:t>一</w:t>
      </w:r>
      <w:r>
        <w:rPr>
          <w:rFonts w:ascii="Times New Roman" w:hAnsi="Times New Roman" w:eastAsia="Times New Roman"/>
          <w:b/>
          <w:sz w:val="28"/>
        </w:rPr>
        <w:t>)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一、单项选择题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1.</w:t>
      </w:r>
      <w:r>
        <w:rPr>
          <w:rFonts w:ascii="宋体" w:hAnsi="宋体" w:eastAsia="宋体"/>
          <w:b w:val="0"/>
          <w:sz w:val="21"/>
        </w:rPr>
        <w:t xml:space="preserve"> 实际直流电源可用恒定电势与一个内电阻串联来表示，这种表示形式属于（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支路电流模型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回路电压模型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节点电位模型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电压源模型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2.</w:t>
      </w:r>
      <w:r>
        <w:rPr>
          <w:rFonts w:ascii="宋体" w:hAnsi="宋体" w:eastAsia="宋体"/>
          <w:b w:val="0"/>
          <w:sz w:val="21"/>
        </w:rPr>
        <w:t xml:space="preserve"> 将一个实际电源由串联形式变为并联形式时，内电阻的连接关系应是（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改接为并联支路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改接为开路支路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改接为短路支路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改接为外部负载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3.</w:t>
      </w:r>
      <w:r>
        <w:rPr>
          <w:rFonts w:ascii="宋体" w:hAnsi="宋体" w:eastAsia="宋体"/>
          <w:b w:val="0"/>
          <w:sz w:val="21"/>
        </w:rPr>
        <w:t xml:space="preserve"> 已知实际电压源的电动势为</w:t>
      </w:r>
      <w:r>
        <w:rPr>
          <w:rFonts w:ascii="Times New Roman" w:hAnsi="Times New Roman" w:eastAsia="Times New Roman"/>
          <w:b w:val="0"/>
          <w:sz w:val="21"/>
        </w:rPr>
        <w:t>U</w:t>
      </w:r>
      <w:r>
        <w:rPr>
          <w:rFonts w:ascii="宋体" w:hAnsi="宋体" w:eastAsia="宋体"/>
          <w:b w:val="0"/>
          <w:sz w:val="21"/>
        </w:rPr>
        <w:t>，内电阻为</w:t>
      </w:r>
      <w:r>
        <w:rPr>
          <w:rFonts w:ascii="Times New Roman" w:hAnsi="Times New Roman" w:eastAsia="Times New Roman"/>
          <w:b w:val="0"/>
          <w:sz w:val="21"/>
        </w:rPr>
        <w:t>R</w:t>
      </w:r>
      <w:r>
        <w:rPr>
          <w:rFonts w:ascii="宋体" w:hAnsi="宋体" w:eastAsia="宋体"/>
          <w:b w:val="0"/>
          <w:sz w:val="21"/>
        </w:rPr>
        <w:t>，将其变为实际电流源时，首先应确定（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支路总功率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输出电压极性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等效源电流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负载电阻大小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4.</w:t>
      </w:r>
      <w:r>
        <w:rPr>
          <w:rFonts w:ascii="宋体" w:hAnsi="宋体" w:eastAsia="宋体"/>
          <w:b w:val="0"/>
          <w:sz w:val="21"/>
        </w:rPr>
        <w:t xml:space="preserve"> 某电源模型变换后接入同一负载，测得负载端电压明显不一致，最可能的原因是（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端口极性接反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导线长度相同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负载位置不变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电表量程合适</w:t>
            </w:r>
          </w:p>
        </w:tc>
      </w:tr>
    </w:tbl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二、多项选择题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5.</w:t>
      </w:r>
      <w:r>
        <w:rPr>
          <w:rFonts w:ascii="宋体" w:hAnsi="宋体" w:eastAsia="宋体"/>
          <w:b w:val="0"/>
          <w:sz w:val="21"/>
        </w:rPr>
        <w:t xml:space="preserve"> 对同一实际电压源，若电动势不变而内电阻增大，变换为实际电流源后可能出现的变化是（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源电流数值减小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并联电阻数值增大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端口极性必须反向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负载功率必定增大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6.</w:t>
      </w:r>
      <w:r>
        <w:rPr>
          <w:rFonts w:ascii="宋体" w:hAnsi="宋体" w:eastAsia="宋体"/>
          <w:b w:val="0"/>
          <w:sz w:val="21"/>
        </w:rPr>
        <w:t xml:space="preserve"> 在维修电路时，需把一个实际电压源改画成等效电流源，正确做法有（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按端口关系标明方向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用电动势除以内阻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将内阻接成并联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随意改变负载参数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7.</w:t>
      </w:r>
      <w:r>
        <w:rPr>
          <w:rFonts w:ascii="宋体" w:hAnsi="宋体" w:eastAsia="宋体"/>
          <w:b w:val="0"/>
          <w:sz w:val="21"/>
        </w:rPr>
        <w:t xml:space="preserve"> 比较理想电压源和理想电流源，下列说法正确的有（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理想电压源内阻为零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理想电流源内阻无限大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理想电压源端压恒定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理想电流源端压恒定</w:t>
            </w:r>
          </w:p>
        </w:tc>
      </w:tr>
    </w:tbl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8.</w:t>
      </w:r>
      <w:r>
        <w:rPr>
          <w:rFonts w:ascii="宋体" w:hAnsi="宋体" w:eastAsia="宋体"/>
          <w:b w:val="0"/>
          <w:sz w:val="21"/>
        </w:rPr>
        <w:t xml:space="preserve"> 一个实际电压源的电动势为</w:t>
      </w:r>
      <w:r>
        <w:rPr>
          <w:rFonts w:ascii="Times New Roman" w:hAnsi="Times New Roman" w:eastAsia="Times New Roman"/>
          <w:b w:val="0"/>
          <w:sz w:val="21"/>
        </w:rPr>
        <w:t>12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，内电阻为</w:t>
      </w:r>
      <w:r>
        <w:rPr>
          <w:rFonts w:ascii="Times New Roman" w:hAnsi="Times New Roman" w:eastAsia="Times New Roman"/>
          <w:b w:val="0"/>
          <w:sz w:val="21"/>
        </w:rPr>
        <w:t>6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，变换为实际电流源后，下列判断正确的有（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源电流为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2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A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并联电阻为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6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Ω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源电流为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72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A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并联电阻为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2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Ω</w:t>
            </w:r>
          </w:p>
        </w:tc>
      </w:tr>
    </w:tbl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三、判断题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9.</w:t>
      </w:r>
      <w:r>
        <w:rPr>
          <w:rFonts w:ascii="宋体" w:hAnsi="宋体" w:eastAsia="宋体"/>
          <w:b w:val="0"/>
          <w:sz w:val="21"/>
        </w:rPr>
        <w:t xml:space="preserve"> 只有含有内电阻的实际电压源，才可按有限参数变换为实际电流源。（   ）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10.</w:t>
      </w:r>
      <w:r>
        <w:rPr>
          <w:rFonts w:ascii="宋体" w:hAnsi="宋体" w:eastAsia="宋体"/>
          <w:b w:val="0"/>
          <w:sz w:val="21"/>
        </w:rPr>
        <w:t xml:space="preserve"> 电源模型变换时，内电阻的数值应重新计算，连接方式可以保持不变。（   ）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11.</w:t>
      </w:r>
      <w:r>
        <w:rPr>
          <w:rFonts w:ascii="宋体" w:hAnsi="宋体" w:eastAsia="宋体"/>
          <w:b w:val="0"/>
          <w:sz w:val="21"/>
        </w:rPr>
        <w:t xml:space="preserve"> 实际电流源变换为实际电压源时，电压源的电动势由源电流与并联电阻共同决定。（   ）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12.</w:t>
      </w:r>
      <w:r>
        <w:rPr>
          <w:rFonts w:ascii="宋体" w:hAnsi="宋体" w:eastAsia="宋体"/>
          <w:b w:val="0"/>
          <w:sz w:val="21"/>
        </w:rPr>
        <w:t xml:space="preserve"> 变换后若开路电压和短路电流均与原模型不符，通常说明等效参数或连接关系存在错误。（   ）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四、简答题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13.</w:t>
      </w:r>
      <w:r>
        <w:rPr>
          <w:rFonts w:ascii="宋体" w:hAnsi="宋体" w:eastAsia="宋体"/>
          <w:b w:val="0"/>
          <w:sz w:val="21"/>
        </w:rPr>
        <w:t xml:space="preserve"> 简述实际电压源与实际电流源进行等效变换时应注意的要点。</w:t>
      </w: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五、计算题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14.</w:t>
      </w:r>
      <w:r>
        <w:rPr>
          <w:rFonts w:ascii="宋体" w:hAnsi="宋体" w:eastAsia="宋体"/>
          <w:b w:val="0"/>
          <w:sz w:val="21"/>
        </w:rPr>
        <w:t xml:space="preserve"> 一个实际电压源的电动势为</w:t>
      </w:r>
      <w:r>
        <w:rPr>
          <w:rFonts w:ascii="Times New Roman" w:hAnsi="Times New Roman" w:eastAsia="Times New Roman"/>
          <w:b w:val="0"/>
          <w:sz w:val="21"/>
        </w:rPr>
        <w:t>18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，内电阻为</w:t>
      </w:r>
      <w:r>
        <w:rPr>
          <w:rFonts w:ascii="Times New Roman" w:hAnsi="Times New Roman" w:eastAsia="Times New Roman"/>
          <w:b w:val="0"/>
          <w:sz w:val="21"/>
        </w:rPr>
        <w:t>3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。将其等效变换为实际电流源，求电流源电流和并联内电阻。</w:t>
      </w: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15.</w:t>
      </w:r>
      <w:r>
        <w:rPr>
          <w:rFonts w:ascii="宋体" w:hAnsi="宋体" w:eastAsia="宋体"/>
          <w:b w:val="0"/>
          <w:sz w:val="21"/>
        </w:rPr>
        <w:t xml:space="preserve"> 某实际电流源的源电流为</w:t>
      </w:r>
      <w:r>
        <w:rPr>
          <w:rFonts w:ascii="Times New Roman" w:hAnsi="Times New Roman" w:eastAsia="Times New Roman"/>
          <w:b w:val="0"/>
          <w:sz w:val="21"/>
        </w:rPr>
        <w:t>4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A</w:t>
      </w:r>
      <w:r>
        <w:rPr>
          <w:rFonts w:ascii="宋体" w:hAnsi="宋体" w:eastAsia="宋体"/>
          <w:b w:val="0"/>
          <w:sz w:val="21"/>
        </w:rPr>
        <w:t>，内电阻为</w:t>
      </w:r>
      <w:r>
        <w:rPr>
          <w:rFonts w:ascii="Times New Roman" w:hAnsi="Times New Roman" w:eastAsia="Times New Roman"/>
          <w:b w:val="0"/>
          <w:sz w:val="21"/>
        </w:rPr>
        <w:t>5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，外接负载电阻为</w:t>
      </w:r>
      <w:r>
        <w:rPr>
          <w:rFonts w:ascii="Times New Roman" w:hAnsi="Times New Roman" w:eastAsia="Times New Roman"/>
          <w:b w:val="0"/>
          <w:sz w:val="21"/>
        </w:rPr>
        <w:t>10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。求：（</w:t>
      </w:r>
      <w:r>
        <w:rPr>
          <w:rFonts w:ascii="Times New Roman" w:hAnsi="Times New Roman" w:eastAsia="Times New Roman"/>
          <w:b w:val="0"/>
          <w:sz w:val="21"/>
        </w:rPr>
        <w:t>1</w:t>
      </w:r>
      <w:r>
        <w:rPr>
          <w:rFonts w:ascii="宋体" w:hAnsi="宋体" w:eastAsia="宋体"/>
          <w:b w:val="0"/>
          <w:sz w:val="21"/>
        </w:rPr>
        <w:t>）等效实际电压源的电动势和串联内电阻；（</w:t>
      </w:r>
      <w:r>
        <w:rPr>
          <w:rFonts w:ascii="Times New Roman" w:hAnsi="Times New Roman" w:eastAsia="Times New Roman"/>
          <w:b w:val="0"/>
          <w:sz w:val="21"/>
        </w:rPr>
        <w:t>2</w:t>
      </w:r>
      <w:r>
        <w:rPr>
          <w:rFonts w:ascii="宋体" w:hAnsi="宋体" w:eastAsia="宋体"/>
          <w:b w:val="0"/>
          <w:sz w:val="21"/>
        </w:rPr>
        <w:t>）接入该负载后的负载电流。</w:t>
      </w: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p>
      <w:pPr>
        <w:spacing w:after="40" w:line="360" w:lineRule="auto"/>
        <w:jc w:val="left"/>
      </w:pPr>
    </w:p>
    <w:sectPr>
      <w:headerReference r:id="rId3" w:type="default"/>
      <w:footerReference r:id="rId4" w:type="default"/>
      <w:headerReference w:type="first" r:id="rId9"/>
      <w:headerReference w:type="even" r:id="rId10"/>
      <w:footerReference w:type="first" r:id="rId11"/>
      <w:footerReference w:type="even" r:id="rId12"/>
      <w:pgSz w:w="11906" w:h="16838"/>
      <w:pgMar w:top="1440" w:right="1803" w:bottom="1440" w:left="1803" w:header="340" w:footer="992" w:gutter="0"/>
      <w:cols w:space="425" w:num="1"/>
      <w:docGrid w:type="lines" w:linePitch="318" w:charSpace="4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思源黑体 CN Normal">
    <w:panose1 w:val="020B0400000000000000"/>
    <w:charset w:val="86"/>
    <w:family w:val="auto"/>
    <w:pitch w:val="default"/>
    <w:sig w:usb0="20000003" w:usb1="2ADF3C10" w:usb2="00000016" w:usb3="00000000" w:csb0="60060107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25C034">
    <w:pPr>
      <w:ind w:firstLine="2760" w:firstLineChars="1150"/>
      <w:textAlignment w:val="center"/>
      <w:rPr>
        <w:rFonts w:hint="eastAsia"/>
      </w:rPr>
    </w:pPr>
    <w:r>
      <w:rPr>
        <w:rFonts w:ascii="宋体" w:hAnsi="宋体" w:eastAsia="宋体" w:cs="宋体"/>
        <w:sz w:val="24"/>
        <w:szCs w:val="24"/>
      </w:rPr>
      <w:drawing>
        <wp:inline distT="0" distB="0" distL="114300" distR="114300">
          <wp:extent cx="298450" cy="314960"/>
          <wp:effectExtent l="0" t="0" r="6350" b="8890"/>
          <wp:docPr id="2" name="图片 2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98450" cy="31496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>原创精品资源学科网独家享有版权，侵权必究</w:t>
    </w:r>
    <w:r>
      <w:rPr>
        <w:rFonts w:hint="eastAsia"/>
        <w:color w:val="000000"/>
        <w:szCs w:val="21"/>
      </w:rPr>
      <w:t>！</w:t>
    </w:r>
  </w:p>
  <w:p w14:paraId="28A4007C">
    <w:pPr>
      <w:tabs>
        <w:tab w:val="center" w:pos="4153"/>
        <w:tab w:val="right" w:pos="8306"/>
      </w:tabs>
      <w:snapToGrid w:val="0"/>
      <w:jc w:val="left"/>
      <w:rPr>
        <w:rFonts w:ascii="Times New Roman" w:hAnsi="Times New Roman" w:eastAsia="宋体"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1" o:spt="136" alt="学科网 zxxk.com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2" o:spt="75" alt="学科网 zxxk.com" type="#_x0000_t75" style="position:absolute;left:0pt;margin-left:64.05pt;margin-top:-20.75pt;height:0.05pt;width:0.0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 w:ascii="Times New Roman" w:hAnsi="Times New Roman" w:eastAsia="宋体" w:cs="Times New Roman"/>
        <w:color w:val="FFFFFF"/>
        <w:kern w:val="0"/>
        <w:sz w:val="2"/>
        <w:szCs w:val="2"/>
      </w:rPr>
      <w:t>学科网（北京）股份有限公司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70D870">
    <w:pPr>
      <w:pStyle w:val="7"/>
      <w:pBdr>
        <w:bottom w:val="none" w:color="auto" w:sz="0" w:space="0"/>
      </w:pBdr>
      <w:spacing w:before="100" w:beforeAutospacing="1"/>
      <w:ind w:left="-1800" w:leftChars="-857" w:right="-1260" w:rightChars="-600"/>
      <w:jc w:val="both"/>
      <w:rPr>
        <w:rFonts w:hint="eastAsia"/>
      </w:rPr>
    </w:pPr>
    <w:r>
      <w:rPr>
        <w:rFonts w:ascii="宋体" w:hAnsi="宋体" w:eastAsia="宋体" w:cs="宋体"/>
        <w:sz w:val="24"/>
        <w:szCs w:val="24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-698500</wp:posOffset>
          </wp:positionH>
          <wp:positionV relativeFrom="paragraph">
            <wp:posOffset>60325</wp:posOffset>
          </wp:positionV>
          <wp:extent cx="7560310" cy="435610"/>
          <wp:effectExtent l="0" t="0" r="2540" b="2540"/>
          <wp:wrapTopAndBottom/>
          <wp:docPr id="6" name="图片 3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图片 3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310" cy="43561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lang w:val="en-US" w:eastAsia="zh-CN"/>
      </w:rPr>
      <w:t xml:space="preserve">        </w:t>
    </w:r>
  </w:p>
  <w:p w14:paraId="672C23E4">
    <w:pPr>
      <w:pStyle w:val="7"/>
      <w:pBdr>
        <w:bottom w:val="none" w:color="auto" w:sz="0" w:space="0"/>
      </w:pBdr>
      <w:spacing w:before="100" w:beforeAutospacing="1"/>
      <w:ind w:left="-1800" w:leftChars="-857" w:right="-1260" w:rightChars="-600"/>
      <w:jc w:val="both"/>
      <w:rPr>
        <w:rFonts w:hint="eastAsia"/>
      </w:rPr>
    </w:pPr>
    <w:r>
      <w:rPr>
        <w:rFonts w:hint="eastAsia"/>
      </w:rPr>
      <w:t xml:space="preserve">        </w:t>
    </w:r>
  </w:p>
  <w:p w14:paraId="79BA583D">
    <w:pPr>
      <w:pBdr>
        <w:bottom w:val="none" w:color="auto" w:sz="0" w:space="1"/>
      </w:pBdr>
      <w:snapToGrid w:val="0"/>
      <w:rPr>
        <w:rFonts w:ascii="Times New Roman" w:hAnsi="Times New Roman" w:eastAsia="宋体"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25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420"/>
  <w:drawingGridHorizontalSpacing w:val="106"/>
  <w:drawingGridVerticalSpacing w:val="159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GExZTM2ZDE4MzFhNDdiOWE3ZTAwMDk4YWMwZDc1YmMifQ=="/>
  </w:docVars>
  <w:rsids>
    <w:rsidRoot w:val="00463A97"/>
    <w:rsid w:val="0003459B"/>
    <w:rsid w:val="0008004E"/>
    <w:rsid w:val="000802CD"/>
    <w:rsid w:val="00084654"/>
    <w:rsid w:val="000A07DB"/>
    <w:rsid w:val="000C3DCD"/>
    <w:rsid w:val="000F1BF4"/>
    <w:rsid w:val="000F5DE0"/>
    <w:rsid w:val="00173791"/>
    <w:rsid w:val="00173E60"/>
    <w:rsid w:val="00186D21"/>
    <w:rsid w:val="00197BEE"/>
    <w:rsid w:val="00201CD8"/>
    <w:rsid w:val="002309FE"/>
    <w:rsid w:val="00265789"/>
    <w:rsid w:val="00276196"/>
    <w:rsid w:val="002C0161"/>
    <w:rsid w:val="002C6ECE"/>
    <w:rsid w:val="002E4D35"/>
    <w:rsid w:val="002E6471"/>
    <w:rsid w:val="002F50CF"/>
    <w:rsid w:val="003010E6"/>
    <w:rsid w:val="00313081"/>
    <w:rsid w:val="00365825"/>
    <w:rsid w:val="00370998"/>
    <w:rsid w:val="00377AC5"/>
    <w:rsid w:val="00386338"/>
    <w:rsid w:val="00387529"/>
    <w:rsid w:val="003901C3"/>
    <w:rsid w:val="003C2208"/>
    <w:rsid w:val="003E50E6"/>
    <w:rsid w:val="003E55BF"/>
    <w:rsid w:val="0041319D"/>
    <w:rsid w:val="004151FC"/>
    <w:rsid w:val="00423105"/>
    <w:rsid w:val="004325D5"/>
    <w:rsid w:val="00437C53"/>
    <w:rsid w:val="004413A7"/>
    <w:rsid w:val="00463A97"/>
    <w:rsid w:val="00471200"/>
    <w:rsid w:val="004A7B49"/>
    <w:rsid w:val="004C06E2"/>
    <w:rsid w:val="005039F1"/>
    <w:rsid w:val="005250D6"/>
    <w:rsid w:val="005402BC"/>
    <w:rsid w:val="00552287"/>
    <w:rsid w:val="005541EE"/>
    <w:rsid w:val="00573759"/>
    <w:rsid w:val="00575472"/>
    <w:rsid w:val="005B60D6"/>
    <w:rsid w:val="005F6CAE"/>
    <w:rsid w:val="00652470"/>
    <w:rsid w:val="00667276"/>
    <w:rsid w:val="00676922"/>
    <w:rsid w:val="00687940"/>
    <w:rsid w:val="006A226E"/>
    <w:rsid w:val="006D3FAC"/>
    <w:rsid w:val="006E2D94"/>
    <w:rsid w:val="006E2DC3"/>
    <w:rsid w:val="006E7958"/>
    <w:rsid w:val="00716FAF"/>
    <w:rsid w:val="00727C2B"/>
    <w:rsid w:val="00730574"/>
    <w:rsid w:val="007376EA"/>
    <w:rsid w:val="00741C58"/>
    <w:rsid w:val="007A6C50"/>
    <w:rsid w:val="007B3C28"/>
    <w:rsid w:val="007C562A"/>
    <w:rsid w:val="007D2D17"/>
    <w:rsid w:val="007F1418"/>
    <w:rsid w:val="007F77CD"/>
    <w:rsid w:val="00847BF6"/>
    <w:rsid w:val="00856E1B"/>
    <w:rsid w:val="0086576B"/>
    <w:rsid w:val="00866EEF"/>
    <w:rsid w:val="00871CD3"/>
    <w:rsid w:val="008B087F"/>
    <w:rsid w:val="008B0A4D"/>
    <w:rsid w:val="008B3E4D"/>
    <w:rsid w:val="008B47A8"/>
    <w:rsid w:val="008C698D"/>
    <w:rsid w:val="008D5B08"/>
    <w:rsid w:val="009020C6"/>
    <w:rsid w:val="00926900"/>
    <w:rsid w:val="009424FE"/>
    <w:rsid w:val="00943BDF"/>
    <w:rsid w:val="00960BF9"/>
    <w:rsid w:val="009A170B"/>
    <w:rsid w:val="009A4202"/>
    <w:rsid w:val="009B7CC2"/>
    <w:rsid w:val="009F29F0"/>
    <w:rsid w:val="00A15D48"/>
    <w:rsid w:val="00A22AF9"/>
    <w:rsid w:val="00A23A4E"/>
    <w:rsid w:val="00A45B4F"/>
    <w:rsid w:val="00A62647"/>
    <w:rsid w:val="00A75155"/>
    <w:rsid w:val="00A9232D"/>
    <w:rsid w:val="00AF5632"/>
    <w:rsid w:val="00B10081"/>
    <w:rsid w:val="00B46601"/>
    <w:rsid w:val="00B70646"/>
    <w:rsid w:val="00B84E99"/>
    <w:rsid w:val="00BA53F0"/>
    <w:rsid w:val="00BC72DA"/>
    <w:rsid w:val="00C02FC6"/>
    <w:rsid w:val="00C04D3C"/>
    <w:rsid w:val="00C32A51"/>
    <w:rsid w:val="00C721AC"/>
    <w:rsid w:val="00C82EA3"/>
    <w:rsid w:val="00CD6D53"/>
    <w:rsid w:val="00CD6F97"/>
    <w:rsid w:val="00D16D6F"/>
    <w:rsid w:val="00D17251"/>
    <w:rsid w:val="00D34B9B"/>
    <w:rsid w:val="00D5013C"/>
    <w:rsid w:val="00D56C9B"/>
    <w:rsid w:val="00D640A6"/>
    <w:rsid w:val="00D660ED"/>
    <w:rsid w:val="00D94E23"/>
    <w:rsid w:val="00DB05B0"/>
    <w:rsid w:val="00DB25FA"/>
    <w:rsid w:val="00DE7362"/>
    <w:rsid w:val="00DF3BCA"/>
    <w:rsid w:val="00E02BD2"/>
    <w:rsid w:val="00E34DB6"/>
    <w:rsid w:val="00E62078"/>
    <w:rsid w:val="00E93C71"/>
    <w:rsid w:val="00EF0CCE"/>
    <w:rsid w:val="00F20C65"/>
    <w:rsid w:val="00F37E3F"/>
    <w:rsid w:val="00F470A2"/>
    <w:rsid w:val="00F534C2"/>
    <w:rsid w:val="00F54B56"/>
    <w:rsid w:val="00F60C79"/>
    <w:rsid w:val="00F711F0"/>
    <w:rsid w:val="00F919B2"/>
    <w:rsid w:val="00F97DD4"/>
    <w:rsid w:val="00FA6226"/>
    <w:rsid w:val="00FE1665"/>
    <w:rsid w:val="00FE5CA0"/>
    <w:rsid w:val="012313A8"/>
    <w:rsid w:val="01C942CB"/>
    <w:rsid w:val="01CA59D6"/>
    <w:rsid w:val="02A57601"/>
    <w:rsid w:val="02DB4285"/>
    <w:rsid w:val="03AC2332"/>
    <w:rsid w:val="041E4CBE"/>
    <w:rsid w:val="04B36EE7"/>
    <w:rsid w:val="061F7BB4"/>
    <w:rsid w:val="06340157"/>
    <w:rsid w:val="067F71F7"/>
    <w:rsid w:val="07083A37"/>
    <w:rsid w:val="072713FE"/>
    <w:rsid w:val="0760056B"/>
    <w:rsid w:val="08300E6D"/>
    <w:rsid w:val="09707B14"/>
    <w:rsid w:val="09BF2AD7"/>
    <w:rsid w:val="09C15DF0"/>
    <w:rsid w:val="09C30DAB"/>
    <w:rsid w:val="09F663BC"/>
    <w:rsid w:val="0A6A5645"/>
    <w:rsid w:val="0AA91B9A"/>
    <w:rsid w:val="0B1650E4"/>
    <w:rsid w:val="0B667AE0"/>
    <w:rsid w:val="0BE75C3B"/>
    <w:rsid w:val="0C3813AB"/>
    <w:rsid w:val="0C851E84"/>
    <w:rsid w:val="0CB24678"/>
    <w:rsid w:val="0CF208CB"/>
    <w:rsid w:val="0D0504FC"/>
    <w:rsid w:val="0D2C2E93"/>
    <w:rsid w:val="0D523896"/>
    <w:rsid w:val="0D770B24"/>
    <w:rsid w:val="0DC02854"/>
    <w:rsid w:val="0E7771D7"/>
    <w:rsid w:val="0ECC2733"/>
    <w:rsid w:val="0EFB4ED4"/>
    <w:rsid w:val="0F0A571B"/>
    <w:rsid w:val="0F173A21"/>
    <w:rsid w:val="0F2B7270"/>
    <w:rsid w:val="0F325928"/>
    <w:rsid w:val="0F96268F"/>
    <w:rsid w:val="10645E56"/>
    <w:rsid w:val="107F0BC7"/>
    <w:rsid w:val="10A75767"/>
    <w:rsid w:val="10B174D0"/>
    <w:rsid w:val="10C769C6"/>
    <w:rsid w:val="12160F3D"/>
    <w:rsid w:val="12902833"/>
    <w:rsid w:val="12974ADF"/>
    <w:rsid w:val="12A85E7B"/>
    <w:rsid w:val="130D32C4"/>
    <w:rsid w:val="13371015"/>
    <w:rsid w:val="13DC5795"/>
    <w:rsid w:val="140838EB"/>
    <w:rsid w:val="1446695C"/>
    <w:rsid w:val="14BA590D"/>
    <w:rsid w:val="14BE0E9B"/>
    <w:rsid w:val="16804345"/>
    <w:rsid w:val="169D4FD1"/>
    <w:rsid w:val="175153D4"/>
    <w:rsid w:val="18202101"/>
    <w:rsid w:val="18394AFA"/>
    <w:rsid w:val="19B544C6"/>
    <w:rsid w:val="19DA6159"/>
    <w:rsid w:val="1A430709"/>
    <w:rsid w:val="1A8B051E"/>
    <w:rsid w:val="1ACC5347"/>
    <w:rsid w:val="1AEB4C62"/>
    <w:rsid w:val="1B553F6C"/>
    <w:rsid w:val="1C034C5D"/>
    <w:rsid w:val="1C413596"/>
    <w:rsid w:val="1C502414"/>
    <w:rsid w:val="1C634C3C"/>
    <w:rsid w:val="1C7A43AD"/>
    <w:rsid w:val="1C9E1F5A"/>
    <w:rsid w:val="1CA171DD"/>
    <w:rsid w:val="1CB25FAA"/>
    <w:rsid w:val="1E0565AE"/>
    <w:rsid w:val="1E875215"/>
    <w:rsid w:val="1EF84F1D"/>
    <w:rsid w:val="1FD85E11"/>
    <w:rsid w:val="204957D5"/>
    <w:rsid w:val="20DC5F31"/>
    <w:rsid w:val="229A2A9C"/>
    <w:rsid w:val="2367169E"/>
    <w:rsid w:val="237D63C0"/>
    <w:rsid w:val="242C46C8"/>
    <w:rsid w:val="24FD4E23"/>
    <w:rsid w:val="250C3E55"/>
    <w:rsid w:val="259A582D"/>
    <w:rsid w:val="267B5F8E"/>
    <w:rsid w:val="2699705D"/>
    <w:rsid w:val="26B3018D"/>
    <w:rsid w:val="26B549A0"/>
    <w:rsid w:val="27396FC7"/>
    <w:rsid w:val="284D6B87"/>
    <w:rsid w:val="28602AEA"/>
    <w:rsid w:val="286D7229"/>
    <w:rsid w:val="296E3B31"/>
    <w:rsid w:val="29A759B4"/>
    <w:rsid w:val="2A1060BE"/>
    <w:rsid w:val="2A13488D"/>
    <w:rsid w:val="2A4F2C0F"/>
    <w:rsid w:val="2A626D58"/>
    <w:rsid w:val="2AA76450"/>
    <w:rsid w:val="2AE8220E"/>
    <w:rsid w:val="2B0510EB"/>
    <w:rsid w:val="2B8E0140"/>
    <w:rsid w:val="2C821A0F"/>
    <w:rsid w:val="2CFE1B87"/>
    <w:rsid w:val="2E357249"/>
    <w:rsid w:val="2E41609D"/>
    <w:rsid w:val="2F872C9B"/>
    <w:rsid w:val="2F8A246F"/>
    <w:rsid w:val="2FC8743B"/>
    <w:rsid w:val="2FE14059"/>
    <w:rsid w:val="30B31E99"/>
    <w:rsid w:val="310855A4"/>
    <w:rsid w:val="31426492"/>
    <w:rsid w:val="319D0F30"/>
    <w:rsid w:val="31A508F6"/>
    <w:rsid w:val="31D97C51"/>
    <w:rsid w:val="31E85AF3"/>
    <w:rsid w:val="32186458"/>
    <w:rsid w:val="32AC094E"/>
    <w:rsid w:val="33C05D77"/>
    <w:rsid w:val="34DE68FD"/>
    <w:rsid w:val="351D5830"/>
    <w:rsid w:val="354953BE"/>
    <w:rsid w:val="35894510"/>
    <w:rsid w:val="3590533C"/>
    <w:rsid w:val="365B2DB7"/>
    <w:rsid w:val="37016990"/>
    <w:rsid w:val="379B2486"/>
    <w:rsid w:val="383B573A"/>
    <w:rsid w:val="38A74DA6"/>
    <w:rsid w:val="390E4F55"/>
    <w:rsid w:val="39DC1BD1"/>
    <w:rsid w:val="39DC4520"/>
    <w:rsid w:val="3B765F9D"/>
    <w:rsid w:val="3C2052F0"/>
    <w:rsid w:val="3CBB45AF"/>
    <w:rsid w:val="3CF93EC4"/>
    <w:rsid w:val="3DE32B7F"/>
    <w:rsid w:val="3E027FBC"/>
    <w:rsid w:val="3E3F2DEC"/>
    <w:rsid w:val="3E5234A2"/>
    <w:rsid w:val="3E5E1C27"/>
    <w:rsid w:val="3F5B4B2B"/>
    <w:rsid w:val="40961D62"/>
    <w:rsid w:val="40A1642F"/>
    <w:rsid w:val="412C5A7C"/>
    <w:rsid w:val="416A779D"/>
    <w:rsid w:val="420C5699"/>
    <w:rsid w:val="428F1C3F"/>
    <w:rsid w:val="429225D5"/>
    <w:rsid w:val="43043AE6"/>
    <w:rsid w:val="435766B4"/>
    <w:rsid w:val="43823E4F"/>
    <w:rsid w:val="44E4041B"/>
    <w:rsid w:val="45336CAD"/>
    <w:rsid w:val="453C2005"/>
    <w:rsid w:val="45D04B77"/>
    <w:rsid w:val="477261B2"/>
    <w:rsid w:val="47883F1A"/>
    <w:rsid w:val="47AB3F12"/>
    <w:rsid w:val="47C96287"/>
    <w:rsid w:val="483A28C0"/>
    <w:rsid w:val="488A6355"/>
    <w:rsid w:val="492A19DE"/>
    <w:rsid w:val="49A452DD"/>
    <w:rsid w:val="4A4D205B"/>
    <w:rsid w:val="4A8F3FE1"/>
    <w:rsid w:val="4B0B6702"/>
    <w:rsid w:val="4C00315D"/>
    <w:rsid w:val="4C0E1ED4"/>
    <w:rsid w:val="4C6A56AA"/>
    <w:rsid w:val="4C9F17C3"/>
    <w:rsid w:val="4CB2430B"/>
    <w:rsid w:val="4D381304"/>
    <w:rsid w:val="4D6800AC"/>
    <w:rsid w:val="4D813083"/>
    <w:rsid w:val="4D84279B"/>
    <w:rsid w:val="4E7B04B6"/>
    <w:rsid w:val="4EA22FD6"/>
    <w:rsid w:val="4F7800DE"/>
    <w:rsid w:val="4FF2674F"/>
    <w:rsid w:val="50030DB7"/>
    <w:rsid w:val="50B71551"/>
    <w:rsid w:val="50C13731"/>
    <w:rsid w:val="50D92DFE"/>
    <w:rsid w:val="51505396"/>
    <w:rsid w:val="51D21966"/>
    <w:rsid w:val="52AB00D9"/>
    <w:rsid w:val="52D36E65"/>
    <w:rsid w:val="53031D12"/>
    <w:rsid w:val="53193986"/>
    <w:rsid w:val="5362571B"/>
    <w:rsid w:val="53715570"/>
    <w:rsid w:val="53911824"/>
    <w:rsid w:val="53CF1894"/>
    <w:rsid w:val="54490D03"/>
    <w:rsid w:val="567852A3"/>
    <w:rsid w:val="56B75990"/>
    <w:rsid w:val="56DB46C1"/>
    <w:rsid w:val="57147FE3"/>
    <w:rsid w:val="5718341D"/>
    <w:rsid w:val="5918493B"/>
    <w:rsid w:val="59815CBF"/>
    <w:rsid w:val="59A33FA9"/>
    <w:rsid w:val="5A363951"/>
    <w:rsid w:val="5A4C137B"/>
    <w:rsid w:val="5B767AC6"/>
    <w:rsid w:val="5C606182"/>
    <w:rsid w:val="5CBC5D9C"/>
    <w:rsid w:val="5CD20625"/>
    <w:rsid w:val="5D641296"/>
    <w:rsid w:val="5D825F16"/>
    <w:rsid w:val="5D9D5148"/>
    <w:rsid w:val="5DCC7F73"/>
    <w:rsid w:val="5E677FF0"/>
    <w:rsid w:val="5E6C0DB3"/>
    <w:rsid w:val="5E716445"/>
    <w:rsid w:val="5F121FCF"/>
    <w:rsid w:val="5FC324AB"/>
    <w:rsid w:val="6025475A"/>
    <w:rsid w:val="60585DE3"/>
    <w:rsid w:val="617F5D9F"/>
    <w:rsid w:val="61E665BA"/>
    <w:rsid w:val="62363455"/>
    <w:rsid w:val="63082288"/>
    <w:rsid w:val="64005F33"/>
    <w:rsid w:val="64757EE7"/>
    <w:rsid w:val="65405401"/>
    <w:rsid w:val="65566374"/>
    <w:rsid w:val="655B5BA5"/>
    <w:rsid w:val="65624D4C"/>
    <w:rsid w:val="656F2F87"/>
    <w:rsid w:val="65CE7268"/>
    <w:rsid w:val="66560085"/>
    <w:rsid w:val="66981B50"/>
    <w:rsid w:val="67696832"/>
    <w:rsid w:val="676F0150"/>
    <w:rsid w:val="679A1F5F"/>
    <w:rsid w:val="67EC1211"/>
    <w:rsid w:val="69AE45AA"/>
    <w:rsid w:val="6AA81420"/>
    <w:rsid w:val="6ACB7804"/>
    <w:rsid w:val="6BCA0B67"/>
    <w:rsid w:val="6C472EBA"/>
    <w:rsid w:val="6CDE734D"/>
    <w:rsid w:val="6D663934"/>
    <w:rsid w:val="6D8423C8"/>
    <w:rsid w:val="6EEE4BC6"/>
    <w:rsid w:val="6F000329"/>
    <w:rsid w:val="6FE157D4"/>
    <w:rsid w:val="701D71BE"/>
    <w:rsid w:val="709A00CB"/>
    <w:rsid w:val="72C224B2"/>
    <w:rsid w:val="730438B3"/>
    <w:rsid w:val="733B4EDA"/>
    <w:rsid w:val="738E0F7E"/>
    <w:rsid w:val="74220495"/>
    <w:rsid w:val="74551CB7"/>
    <w:rsid w:val="74D13C69"/>
    <w:rsid w:val="759E731E"/>
    <w:rsid w:val="76752701"/>
    <w:rsid w:val="76AA4771"/>
    <w:rsid w:val="76B63FAB"/>
    <w:rsid w:val="77B21B30"/>
    <w:rsid w:val="78B10E52"/>
    <w:rsid w:val="78BB0EB8"/>
    <w:rsid w:val="78F22079"/>
    <w:rsid w:val="79B87455"/>
    <w:rsid w:val="7A0B3779"/>
    <w:rsid w:val="7A1F1F9B"/>
    <w:rsid w:val="7AA57C13"/>
    <w:rsid w:val="7AE72EA1"/>
    <w:rsid w:val="7BE42AFA"/>
    <w:rsid w:val="7C785BA4"/>
    <w:rsid w:val="7C7F3FAA"/>
    <w:rsid w:val="7CAB21CE"/>
    <w:rsid w:val="7D450870"/>
    <w:rsid w:val="7D4D052D"/>
    <w:rsid w:val="7E064983"/>
    <w:rsid w:val="7F7322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  <w:outlineLvl w:val="2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  <w:outlineLvl w:val="3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3">
    <w:name w:val="Default Paragraph Font"/>
    <w:semiHidden/>
    <w:unhideWhenUsed/>
    <w:qFormat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annotation text"/>
    <w:basedOn w:val="1"/>
    <w:autoRedefine/>
    <w:semiHidden/>
    <w:unhideWhenUsed/>
    <w:qFormat/>
    <w:uiPriority w:val="99"/>
    <w:pPr>
      <w:jc w:val="left"/>
    </w:pPr>
  </w:style>
  <w:style w:type="paragraph" w:styleId="5">
    <w:name w:val="Balloon Text"/>
    <w:basedOn w:val="1"/>
    <w:link w:val="18"/>
    <w:autoRedefine/>
    <w:semiHidden/>
    <w:unhideWhenUsed/>
    <w:qFormat/>
    <w:uiPriority w:val="99"/>
    <w:rPr>
      <w:sz w:val="18"/>
      <w:szCs w:val="18"/>
    </w:rPr>
  </w:style>
  <w:style w:type="paragraph" w:styleId="6">
    <w:name w:val="footer"/>
    <w:basedOn w:val="1"/>
    <w:link w:val="17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6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HTML Preformatted"/>
    <w:basedOn w:val="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9">
    <w:name w:val="Normal (Web)"/>
    <w:basedOn w:val="1"/>
    <w:autoRedefine/>
    <w:qFormat/>
    <w:uiPriority w:val="0"/>
    <w:pPr>
      <w:spacing w:beforeAutospacing="1" w:afterAutospacing="1"/>
      <w:jc w:val="left"/>
    </w:pPr>
    <w:rPr>
      <w:rFonts w:cs="Times New Roman"/>
      <w:kern w:val="0"/>
      <w:sz w:val="24"/>
    </w:rPr>
  </w:style>
  <w:style w:type="paragraph" w:styleId="10">
    <w:name w:val="Title"/>
    <w:basedOn w:val="1"/>
    <w:next w:val="1"/>
    <w:autoRedefine/>
    <w:qFormat/>
    <w:uiPriority w:val="10"/>
    <w:pPr>
      <w:spacing w:before="240" w:after="6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table" w:styleId="12">
    <w:name w:val="Table Grid"/>
    <w:basedOn w:val="11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Strong"/>
    <w:basedOn w:val="13"/>
    <w:qFormat/>
    <w:uiPriority w:val="0"/>
    <w:rPr>
      <w:b/>
    </w:rPr>
  </w:style>
  <w:style w:type="character" w:styleId="15">
    <w:name w:val="HTML Code"/>
    <w:basedOn w:val="13"/>
    <w:semiHidden/>
    <w:unhideWhenUsed/>
    <w:uiPriority w:val="99"/>
    <w:rPr>
      <w:rFonts w:ascii="Courier New" w:hAnsi="Courier New"/>
      <w:sz w:val="20"/>
    </w:rPr>
  </w:style>
  <w:style w:type="character" w:customStyle="1" w:styleId="16">
    <w:name w:val="页眉 字符"/>
    <w:basedOn w:val="13"/>
    <w:link w:val="7"/>
    <w:autoRedefine/>
    <w:qFormat/>
    <w:uiPriority w:val="99"/>
    <w:rPr>
      <w:sz w:val="18"/>
      <w:szCs w:val="18"/>
    </w:rPr>
  </w:style>
  <w:style w:type="character" w:customStyle="1" w:styleId="17">
    <w:name w:val="页脚 字符"/>
    <w:basedOn w:val="13"/>
    <w:link w:val="6"/>
    <w:autoRedefine/>
    <w:qFormat/>
    <w:uiPriority w:val="99"/>
    <w:rPr>
      <w:sz w:val="18"/>
      <w:szCs w:val="18"/>
    </w:rPr>
  </w:style>
  <w:style w:type="character" w:customStyle="1" w:styleId="18">
    <w:name w:val="批注框文本 字符"/>
    <w:basedOn w:val="13"/>
    <w:link w:val="5"/>
    <w:autoRedefine/>
    <w:semiHidden/>
    <w:qFormat/>
    <w:uiPriority w:val="99"/>
    <w:rPr>
      <w:sz w:val="18"/>
      <w:szCs w:val="18"/>
    </w:rPr>
  </w:style>
  <w:style w:type="paragraph" w:customStyle="1" w:styleId="19">
    <w:name w:val="mrt20"/>
    <w:basedOn w:val="1"/>
    <w:qFormat/>
    <w:uiPriority w:val="0"/>
    <w:pPr>
      <w:spacing w:before="150"/>
      <w:jc w:val="left"/>
    </w:pPr>
    <w:rPr>
      <w:rFonts w:cs="Times New Roman"/>
      <w:kern w:val="0"/>
    </w:rPr>
  </w:style>
  <w:style w:type="paragraph" w:customStyle="1" w:styleId="20">
    <w:name w:val="正文居中"/>
    <w:basedOn w:val="1"/>
    <w:qFormat/>
    <w:uiPriority w:val="0"/>
    <w:pPr>
      <w:ind w:firstLine="420" w:firstLineChars="200"/>
      <w:textAlignment w:val="center"/>
    </w:pPr>
    <w:rPr>
      <w:color w:val="000000"/>
      <w:szCs w:val="21"/>
    </w:rPr>
  </w:style>
  <w:style w:type="paragraph" w:styleId="21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4.png"/><Relationship Id="rId9" Type="http://schemas.openxmlformats.org/officeDocument/2006/relationships/header" Target="header2.xml"/><Relationship Id="rId10" Type="http://schemas.openxmlformats.org/officeDocument/2006/relationships/header" Target="header3.xml"/><Relationship Id="rId11" Type="http://schemas.openxmlformats.org/officeDocument/2006/relationships/footer" Target="footer2.xml"/><Relationship Id="rId12" Type="http://schemas.openxmlformats.org/officeDocument/2006/relationships/footer" Target="footer3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2051"/>
    <customShpInfo spid="_x0000_s2052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1579</Words>
  <Characters>1948</Characters>
  <Lines>28</Lines>
  <Paragraphs>8</Paragraphs>
  <TotalTime>24</TotalTime>
  <ScaleCrop>false</ScaleCrop>
  <LinksUpToDate>false</LinksUpToDate>
  <CharactersWithSpaces>2100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2024-08-19T01:22:00Z</dcterms:created>
  <dc:creator>zxxk</dc:creator>
  <cp:lastModifiedBy>D</cp:lastModifiedBy>
  <dcterms:modified xsi:type="dcterms:W3CDTF">2026-05-15T07:38:22Z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TemplateDocerSaveRecord">
    <vt:lpwstr>eyJoZGlkIjoiMzEwNTM5NzYwMDRjMzkwZTVkZjY2ODkwMGIxNGU0OTUiLCJ1c2VySWQiOiI2MTg1ODk3NjkifQ==</vt:lpwstr>
  </property>
  <property fmtid="{D5CDD505-2E9C-101B-9397-08002B2CF9AE}" pid="7" name="KSOProductBuildVer">
    <vt:lpwstr>2052-12.1.0.25865</vt:lpwstr>
  </property>
  <property fmtid="{D5CDD505-2E9C-101B-9397-08002B2CF9AE}" pid="8" name="ICV">
    <vt:lpwstr>08739CB807FC445CA11F4F349C781761_12</vt:lpwstr>
  </property>
</Properties>
</file>