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练，内容涵盖理解电流的形成条件与方向规定，掌握电流的定义及单位换算。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练  电流的形成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要使导体中产生能够维持的电流，通常应具备的条件是（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存在电源且回路闭合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存在电阻且开关断开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导线较长且电阻较大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用电器较多且电压为零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在照明电路中，用来接通或切断支路，使灯泡工作状态发生改变的元件是（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闭合直流电路后，金属导线中的自由电子在电场作用下会（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无序振动消耗电能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停在原处保持平衡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定向移动形成电流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随机扩散离开导体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用直流电流表测量支路电流时，若指针向零刻度左侧偏转，最可能的原因是（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根据电流大小与电荷量、通电时间的关系，下列判断正确的有（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电荷量增大时，电流数值增大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电荷量增大时，电流数值减小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通电时间增大时，相同电荷对应电流减小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通电时间增大时，相同电荷对应电流增大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某检修记录需要把电流值统一换算成安或毫安，下列换算正确的有（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0.0005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下列对电流与电压关系的辨析正确的有（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电压能使自由电荷受力运动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电流表示电荷定向移动强弱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开路时支路一定有稳定电流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缺少载流粒子时难以导电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某电路检测记录中出现以下电流数据，下列换算正确的有（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可写成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表示一毫安，它等于</w:t>
      </w:r>
      <w:r>
        <w:rPr>
          <w:rFonts w:ascii="Times New Roman" w:hAnsi="Times New Roman" w:eastAsia="Times New Roman"/>
          <w:b w:val="0"/>
          <w:sz w:val="21"/>
        </w:rPr>
        <w:t>0.001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在电源外部的直流电路中，电流规定方向是从电源负极流向正极。（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金属导体、某些液体和气体中，只要存在能移动的带电粒子并满足条件，都可能形成电流。（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同样通过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的电荷量，通电时间越长，平均电流越大。（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简述在金属导体接入直流闭合回路后，应怎样从载流粒子、方向规定和单位三个方面理解电流。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某传感器支路的工作电流为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，求这段时间通过该支路导体横截面的电荷量，结果用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某控制板支路的允许工作电流不超过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。检修时测得该支路在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内通过的电荷量为</w:t>
      </w:r>
      <w:r>
        <w:rPr>
          <w:rFonts w:ascii="Times New Roman" w:hAnsi="Times New Roman" w:eastAsia="Times New Roman"/>
          <w:b w:val="0"/>
          <w:sz w:val="21"/>
        </w:rPr>
        <w:t>27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）该支路的平均电流；（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）判断该支路是否超过允许工作电流，并说明判断依据。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