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练，内容涵盖掌握解析式、波形图和矢量图三种表示正弦量的方法及其相互转换。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64</w:t>
      </w:r>
      <w:r>
        <w:rPr>
          <w:rFonts w:ascii="宋体" w:hAnsi="宋体" w:eastAsia="宋体"/>
          <w:b/>
          <w:sz w:val="28"/>
        </w:rPr>
        <w:t>练  正弦量的表示方法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在正弦交流电的解析式中，若写成</w:t>
      </w:r>
      <w:r>
        <w:rPr>
          <w:rFonts w:ascii="Times New Roman" w:hAnsi="Times New Roman" w:eastAsia="Times New Roman"/>
          <w:b w:val="0"/>
          <w:sz w:val="21"/>
        </w:rPr>
        <w:t>u=Um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>，其中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起始角度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正弦量波形图中，横坐标和纵坐标通常分别表示（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时间、电量瞬时值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频率、电量有效值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相位、电量平均值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周期、电量最大值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用旋转矢量表示正弦量时，某一时刻的瞬时值可看成矢量在（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横轴上的投影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纵轴上的投影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原点处的长度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圆周上的弧长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根据矢量图写解析式时，若把位于参考轴下方的矢量写成正初相位，最可能的错误是（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相位方向判断相反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幅值比例选取偏小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频率单位写成赫兹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有效值换算成峰值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某正弦电流的时间原点向后平移，其他物理过程不变，下列说法正确的有（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周期大小保持不变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初相位可能改变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频率一定减小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在交流电路分析中，适合采用矢量图处理的情况有（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比较同频电压相位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求同频电流合成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判断直流电压极性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表示同频量大小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关于解析式、波形图和矢量图的特点，下列说法正确的有（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解析式便于计算瞬时值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波形图便于观察周期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矢量图便于比较相位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矢量图适合不同频率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u=100sin(200πt+30°)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e=100sin(200πt-30°)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超前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超前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有效值约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70.7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正弦量的初相位为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时，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时的瞬时值一定为零。（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两个同频正弦量若初相位相同，则它们达到最大值的时刻相同。（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同一张矢量图中，各矢量长度可按有效值绘制，但比例尺应统一。（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用余弦式表示同一正弦量时，最大值和角频率都必须改变。（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简述绘制同频正弦量矢量图时应注意的要点。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简述由正弦量矢量图写出解析式的一般步骤。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i1=5√2sin(314t+45°)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i2=5√2sin(314t-15°)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。简述二者的大小、频率和相位关系。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