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练，内容涵盖理解纯电阻电路中电流与电压同相的关系，掌握有功功率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67</w:t>
      </w:r>
      <w:r>
        <w:rPr>
          <w:rFonts w:ascii="宋体" w:hAnsi="宋体" w:eastAsia="宋体"/>
          <w:b/>
          <w:sz w:val="28"/>
        </w:rPr>
        <w:t>练  纯电阻电路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在单一参数交流电路中，若电能主要转化为热能，该负载通常可归入（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电阻性负载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电感性负载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电容性负载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谐振性负载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在测量交流电阻负载消耗的功率时，电压表和电流表分别用于测量（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相位差和频率值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电压值和电流值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电阻值和周期值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热量值和时间值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某电阻炉接入正弦交流电源后，电源电压极性每半周改变一次，则通过炉丝的电流（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方向同步改变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大小保持恒定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相位滞后半周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频率变为两倍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某交流电阻负载运行时发热明显不足，测得负载电阻值基本符合标称值，最应进一步检查的是（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电源电压是否偏低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负载相位是否超前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电容容量是否过大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线圈匝数是否减少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固定电阻接在交流电源上，若电源电压有效值减小，则下列判断正确的有（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电流有效值减小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电压电流仍同相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电阻阻值随之增大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在实训台上测定交流电阻负载的有功功率，下列做法正确的有（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电压表并接负载两端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电流表串接负载支路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采用有效值进行计算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先断开负载再测电流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比较纯电阻、纯电感和纯电容交流电路，下列说法正确的有（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纯电感电路主要储存磁场能量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纯电容电路主要储存电场能量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三者电压电流相位均相同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某交流电阻负载两端电压为</w:t>
      </w:r>
      <w:r>
        <w:rPr>
          <w:rFonts w:ascii="Times New Roman" w:hAnsi="Times New Roman" w:eastAsia="Times New Roman"/>
          <w:b w:val="0"/>
          <w:sz w:val="21"/>
        </w:rPr>
        <w:t>48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144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功率因数可取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电压电流相位相同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纯电阻交流电路计算有功功率时，通常采用电压和电流的有效值。（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在纯电阻交流电路中，有功功率只与电压有关，与电流大小无关。（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纯电阻负载接入正弦交流电源时，电压和电流同时经过零值。（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交流电阻负载的电阻越大，在同一电压下消耗的功率一定越大。（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简述用电压表和电流表测定交流电阻负载有功功率的基本步骤。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一只交流指示灯接在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电源上，工作电流为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。求该指示灯消耗的有功功率。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某电阻式烘干器的额定电压为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，额定功率为</w:t>
      </w:r>
      <w:r>
        <w:rPr>
          <w:rFonts w:ascii="Times New Roman" w:hAnsi="Times New Roman" w:eastAsia="Times New Roman"/>
          <w:b w:val="0"/>
          <w:sz w:val="21"/>
        </w:rPr>
        <w:t>550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。实际接入电源后测得端电压为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，假定电阻值不变，求：（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）烘干器的电阻；（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）实际工作电流；（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）实际有功功率，并判断是否达到额定功率。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