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练，内容涵盖理解感抗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XL=2πfL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的概念，掌握纯电感电路中电流滞后电压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69</w:t>
      </w:r>
      <w:r>
        <w:rPr>
          <w:rFonts w:ascii="宋体" w:hAnsi="宋体" w:eastAsia="宋体"/>
          <w:b/>
          <w:sz w:val="28"/>
        </w:rPr>
        <w:t>练  纯电感电路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交流通过理想线圈时，阻碍程度随电源条件和线圈参数变化，决定这种阻碍大小的主要量是（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电源频率和线圈电感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电源电压和导线长度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电源电流和绝缘材料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电源相位和线圈匝向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理想线圈接入正弦交流电路时，其主要作用可概括为（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稳定直流电压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储放磁场能量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转化热能耗散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在同一时间轴比较纯电感电路的正弦量波形，符合相位关系的是（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电压波形滞后四分之一周期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电流波形滞后四分之一周期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两个波形同时到达最大值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两个波形相差二分之一周期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一台交流电磁铁由较高频率电源改接到较低频率、同电压电源后，出现电流偏大并发热的现象，主要原因是（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线圈感抗减小使电流增大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线圈感抗增大使电流减小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线圈电感减小使电压升高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线圈电感增大使频率升高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保持电源电压不变，能减小理想线圈交流电流的措施有（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增大线圈电感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减小线圈电感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使用双踪示波器观察纯电感电路相位关系时，正确的操作或判断有（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同一时基显示两路波形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取样电阻获得电流波形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比较峰值出现先后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只读取两表有效值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关于纯电阻电路与纯电感电路的比较，正确的说法有（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电阻电路电压电流同相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电感电路电流滞后电压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电阻电路消耗有功功率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电感阻碍不受频率影响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某理想线圈的电感为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，接入</w:t>
      </w:r>
      <w:r>
        <w:rPr>
          <w:rFonts w:ascii="Times New Roman" w:hAnsi="Times New Roman" w:eastAsia="Times New Roman"/>
          <w:b w:val="0"/>
          <w:sz w:val="21"/>
        </w:rPr>
        <w:t>31.4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的正弦交流电源，取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；若电压不变而频率升至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初始感抗为</w:t>
      </w:r>
      <w:r>
        <w:rPr>
          <w:rFonts w:ascii="Times New Roman" w:hAnsi="Times New Roman" w:eastAsia="Times New Roman"/>
          <w:b w:val="0"/>
          <w:sz w:val="21"/>
        </w:rPr>
        <w:t>31.4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初始电流为</w:t>
      </w:r>
      <w:r>
        <w:rPr>
          <w:rFonts w:ascii="Times New Roman" w:hAnsi="Times New Roman" w:eastAsia="Times New Roman"/>
          <w:b w:val="0"/>
          <w:sz w:val="21"/>
        </w:rPr>
        <w:t>1.0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升频后电流为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升频后相位差为</w:t>
      </w:r>
      <w:r>
        <w:rPr>
          <w:rFonts w:ascii="Times New Roman" w:hAnsi="Times New Roman" w:eastAsia="Times New Roman"/>
          <w:b w:val="0"/>
          <w:sz w:val="21"/>
        </w:rPr>
        <w:t>45°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理想纯电感电路的瞬时功率有正有负，表示线圈与电源之间往复交换能量。（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纯电感线圈的端电压有效值增大时，在频率和电感不变的条件下，电流有效值随之增大。（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在纯电感电路中，若以电流为参考正弦量，则电压比电流滞后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交流电感负载电流偏小，一定是线圈匝间短路造成的。（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简述理想纯电感电路中有功功率和能量交换的特点。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某实验线圈接在有效值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、频率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的正弦交流电源上，要求电流有效值不超过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，求该线圈所需的最小感抗和最小电感。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某纯电感线圈的电感为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，额定电流为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。线圈先接在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的交流电源上，后误接到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的交流电源上。取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）两种频率下的电流有效值；（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时是否超过额定电流，并说明处理方向。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