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练，内容涵盖理解容抗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XC=1/(2πfC)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的概念，掌握纯电容电路中电流超前电压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71</w:t>
      </w:r>
      <w:r>
        <w:rPr>
          <w:rFonts w:ascii="宋体" w:hAnsi="宋体" w:eastAsia="宋体"/>
          <w:b/>
          <w:sz w:val="28"/>
        </w:rPr>
        <w:t>练  纯电容电路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在公式</w:t>
      </w:r>
      <w:r>
        <w:rPr>
          <w:rFonts w:ascii="Times New Roman" w:hAnsi="Times New Roman" w:eastAsia="Times New Roman"/>
          <w:b w:val="0"/>
          <w:sz w:val="21"/>
        </w:rPr>
        <w:t>XC=1/(2πfC)</w:t>
      </w:r>
      <w:r>
        <w:rPr>
          <w:rFonts w:ascii="宋体" w:hAnsi="宋体" w:eastAsia="宋体"/>
          <w:b w:val="0"/>
          <w:sz w:val="21"/>
        </w:rPr>
        <w:t>中，表示交流电源频率的量应采用的单位是（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赫兹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法拉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理想电容元件接入正弦交流支路后，其基本作用是（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产生磁场储能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实现电热转换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形成电场储能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完成机械转换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正弦交流作用于理想电容支路时，电源与元件之间的能量变化表现为（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电源能量单向消耗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热能持续稳定产生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磁场能量周期积累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电场能量增减交替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某实际电容支路接入交流电源后，瓦特表读数明显不接近零，较可能的原因是（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绝缘介质受潮漏电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电源频率略有偏低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电容量选取偏小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测量电压表内阻小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在电容量一定的交流电容支路中，下列操作能使容抗减小的是（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在实验台上观察电容支路的电压与电流波形时，下列做法正确的是（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使用同一时基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串入小取样电阻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核对探头接地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改用直流挡测相位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将容性支路与感性支路进行比较，下列说法正确的是（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前者电流超前电压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前者平均功率为零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后者平均功率恒大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某电容支路的电源频率减为原来一半，同时电容量增为原来二倍，电源电压有效值不变。下列判断正确的是（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支路阻碍减为一半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电容器在直流稳定状态下可看作断路，而纯电容电路分析主要针对正弦交流稳态。（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在电容量不变时，交流电源频率越高，电容支路对电流的阻碍越大。（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理想纯电容支路的平均有功功率为零，但瞬时功率可以出现正值和负值。（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进行电容量单位换算时，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等于十的负三次方法拉。（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简述分析纯电容交流支路电流大小和相位关系的基本步骤。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已知某理想电容支路的容抗为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，电容量为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，电源电压有效值为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）电源频率；（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）支路电流有效值。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某控制电路中一只电容接在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的正弦交流电源上，要求支路电流不超过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。现选用</w:t>
      </w:r>
      <w:r>
        <w:rPr>
          <w:rFonts w:ascii="Times New Roman" w:hAnsi="Times New Roman" w:eastAsia="Times New Roman"/>
          <w:b w:val="0"/>
          <w:sz w:val="21"/>
        </w:rPr>
        <w:t>2.2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电容，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）该电容的容抗；（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）支路电流；（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）判断是否满足要求。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