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79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练，内容涵盖掌握有功功率、无功功率和视在功率的概念及三者关系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S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=P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+Q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²，理解功率因数的意义和提高方法。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串联电路与功率  第</w:t>
      </w:r>
      <w:r>
        <w:rPr>
          <w:rFonts w:ascii="Times New Roman" w:hAnsi="Times New Roman" w:eastAsia="Times New Roman"/>
          <w:b/>
          <w:sz w:val="28"/>
        </w:rPr>
        <w:t>79</w:t>
      </w:r>
      <w:r>
        <w:rPr>
          <w:rFonts w:ascii="宋体" w:hAnsi="宋体" w:eastAsia="宋体"/>
          <w:b/>
          <w:sz w:val="28"/>
        </w:rPr>
        <w:t>练  交流电路的功率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交流电路中，表示电场或磁场能量往返交换规模的功率单位通常为（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瓦特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乏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var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伏安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安培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用三表法间接求某单相负载的功率因数时，通常需要取得的读数为（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I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U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I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感性负载两端并联适当电容后，电源侧电流中的主要变化是（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滞后分量减小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滞后分量增大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同相分量减小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同相分量反向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电容柜投入后，柜内电容支路无电流，而设备功率因数仍偏低，较可能的原因是（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补偿支路熔断器断开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电压表指针量程偏小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功率表电压线圈短路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负载开关触点粘连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某感性负载经补偿后，无功需求减少而有功负载保持不变，下列变化可能出现的有（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有功读数基本不变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视在容量有所减小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线路电流有所减小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电源频率明显降低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给车间低压配电系统配置电容补偿装置时，正确的做法有（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按负载性质选择容量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按额定电压选择器件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按运行变化分组投切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按最大电流短接电容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比较交流电路中常用的功率量，下列说法正确的有（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有功功率反映能量消耗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无功功率反映能量交换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视在功率反映供电容量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功率因数反映电压高低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某单相交流负载的视在功率为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kVA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0.6</w:t>
      </w:r>
      <w:r>
        <w:rPr>
          <w:rFonts w:ascii="宋体" w:hAnsi="宋体" w:eastAsia="宋体"/>
          <w:b w:val="0"/>
          <w:sz w:val="21"/>
        </w:rPr>
        <w:t>，按功率三角形关系判断，下列结果正确的有（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</w:t>
            </w:r>
            <w:r>
              <w:rPr>
                <w:rFonts w:ascii="宋体" w:hAnsi="宋体" w:eastAsia="宋体"/>
                <w:b w:val="0"/>
                <w:sz w:val="21"/>
              </w:rPr>
              <w:t>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var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0.6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kW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功率因数可表示为有功功率与视在功率的比值。（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在功率三角形中，两条直角边可分别表示有功功率和无功功率。（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电容性负载吸收无功时，电流相位通常滞后于电压相位。（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补偿装置投入后若出现过补偿现象，应继续增加电容容量。（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简述功率因数过低对交流供电系统可能产生的影响。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某单相交流设备接在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电源上，测得有功功率为</w:t>
      </w:r>
      <w:r>
        <w:rPr>
          <w:rFonts w:ascii="Times New Roman" w:hAnsi="Times New Roman" w:eastAsia="Times New Roman"/>
          <w:b w:val="0"/>
          <w:sz w:val="21"/>
        </w:rPr>
        <w:t>1760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）该设备的视在功率；（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）线路电流。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两台单相设备均接在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电源上，甲设备有功功率为</w:t>
      </w:r>
      <w:r>
        <w:rPr>
          <w:rFonts w:ascii="Times New Roman" w:hAnsi="Times New Roman" w:eastAsia="Times New Roman"/>
          <w:b w:val="0"/>
          <w:sz w:val="21"/>
        </w:rPr>
        <w:t>3.0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、功率因数为</w:t>
      </w:r>
      <w:r>
        <w:rPr>
          <w:rFonts w:ascii="Times New Roman" w:hAnsi="Times New Roman" w:eastAsia="Times New Roman"/>
          <w:b w:val="0"/>
          <w:sz w:val="21"/>
        </w:rPr>
        <w:t>0.75</w:t>
      </w:r>
      <w:r>
        <w:rPr>
          <w:rFonts w:ascii="宋体" w:hAnsi="宋体" w:eastAsia="宋体"/>
          <w:b w:val="0"/>
          <w:sz w:val="21"/>
        </w:rPr>
        <w:t>，乙设备有功功率为</w:t>
      </w:r>
      <w:r>
        <w:rPr>
          <w:rFonts w:ascii="Times New Roman" w:hAnsi="Times New Roman" w:eastAsia="Times New Roman"/>
          <w:b w:val="0"/>
          <w:sz w:val="21"/>
        </w:rPr>
        <w:t>3.0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、功率因数为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）甲、乙设备的视在功率；（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）甲、乙设备的线路电流；（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）若只能优先治理一台设备，应优先选择哪一台，并说明理由。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