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练，内容涵盖理解串联谐振的条件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(f=1/(2π√LC))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、特点和品质因数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，了解串联谐振的选频应用。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80</w:t>
      </w:r>
      <w:r>
        <w:rPr>
          <w:rFonts w:ascii="宋体" w:hAnsi="宋体" w:eastAsia="宋体"/>
          <w:b/>
          <w:sz w:val="28"/>
        </w:rPr>
        <w:t>练  串联谐振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串联电路中，当电源频率调到某一数值时，电感电抗与电容电抗大小相等，此时电路处于（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过载状态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串联选频回路中，电阻主要决定电路的（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回路损耗和通频带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电源频率和相位角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电容容量和感抗值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电感量和容抗值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电源频率由低逐渐升高并经过固有频率时，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串联回路总阻抗的变化趋势为（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先增大后减小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先减小后增大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始终逐渐减小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某串联选频电路调谐时峰值电流很小且曲线较平缓，若电感、电容参数基本正确，较可能的原因是（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回路电阻偏大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电感线圈开路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串联电路中保持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不变，只增大电阻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品质因数减小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通频带变宽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谐振频率升高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收音机输入级利用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串联回路选出某一电台信号时，正确做法有（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改变电容实现调谐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使固有频率接近信号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减小损耗提高选择性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增大电阻增强选择性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与并联谐振相比，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串联回路在谐振时的特点有（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总阻抗达到最小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电路电流达到最大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元件电压可能较高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支路电流相互抵消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某串联回路接入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交流电源，谐振时总阻抗为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品质因数为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串联回路工作在谐振点时，电源电压与回路电流同相。（   ）</w:t>
        <w:br/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串联谐振电路中的电阻只影响消耗功率，不会影响品质因数。（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频率低于谐振频率时，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串联电路通常呈容性。（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调谐回路中线圈电阻增大，会使谐振曲线变尖锐，选择性增强。（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串联电路发生谐振时的主要特点。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）电路的谐振频率，结果保留一位小数；（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）谐振时的品质因数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串联调谐回路用于选出中心频率为</w:t>
      </w:r>
      <w:r>
        <w:rPr>
          <w:rFonts w:ascii="Times New Roman" w:hAnsi="Times New Roman" w:eastAsia="Times New Roman"/>
          <w:b w:val="0"/>
          <w:sz w:val="21"/>
        </w:rPr>
        <w:t>465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的信号。若该回路的品质因数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）该回路的通频带宽度；（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）频率为</w:t>
      </w:r>
      <w:r>
        <w:rPr>
          <w:rFonts w:ascii="Times New Roman" w:hAnsi="Times New Roman" w:eastAsia="Times New Roman"/>
          <w:b w:val="0"/>
          <w:sz w:val="21"/>
        </w:rPr>
        <w:t>472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的干扰信号与中心频率相差多少；（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）该干扰信号是否落在通频带范围内，并说明理由。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