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练，内容涵盖掌握对称三相电路有功功率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P=√3ULILcosφ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的计算，了解三相四线制中性线的作用。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89</w:t>
      </w:r>
      <w:r>
        <w:rPr>
          <w:rFonts w:ascii="宋体" w:hAnsi="宋体" w:eastAsia="宋体"/>
          <w:b/>
          <w:sz w:val="28"/>
        </w:rPr>
        <w:t>练  三相电路的功率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用公式</w:t>
      </w:r>
      <w:r>
        <w:rPr>
          <w:rFonts w:ascii="Times New Roman" w:hAnsi="Times New Roman" w:eastAsia="Times New Roman"/>
          <w:b w:val="0"/>
          <w:sz w:val="21"/>
        </w:rPr>
        <w:t>P=√3ULILcosφ</w:t>
      </w:r>
      <w:r>
        <w:rPr>
          <w:rFonts w:ascii="宋体" w:hAnsi="宋体" w:eastAsia="宋体"/>
          <w:b w:val="0"/>
          <w:sz w:val="21"/>
        </w:rPr>
        <w:t>计算某三相负载总有功功率时，负载应满足的基本条件是（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三相阻抗相同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三相电源直流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三相导线等长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三相开关同型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三相四线制向多组单相照明灯供电时，公共导线在电路中的连接位置通常是（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三个火线之间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负载星点与电源星点之间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任意两相之间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开关出线与灯座之间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某三相设备运行中，功率因数由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提高到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>，线电压和线电流保持不变，则总有功功率将（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明显减小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变为零值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某三相电动机接在线电压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的电源上，测得线电流明显偏大但输出机械负载未增加，若电源电压基本稳定，较可能的原因是（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相序完全正确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端子接触牢固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铭牌功率偏小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在对称三相电路中，若线电压保持不变，下列因素变化会影响总有功功率的有（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负载接线颜色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电源外壳材料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维修人员估算一台对称三相感性负载的输入有功功率时，应重点读取或查取的量有（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外壳温升数值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关于三相三线制与三相四线制的比较，下列说法正确的有（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三相三线制没有公共导线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三相四线制可接单相负载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三相三线制常供三相负载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三相四线制不能供电动机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某对称三相负载接在线电压为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的电源上，线电流为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√3≈1.73</w:t>
      </w:r>
      <w:r>
        <w:rPr>
          <w:rFonts w:ascii="宋体" w:hAnsi="宋体" w:eastAsia="宋体"/>
          <w:b w:val="0"/>
          <w:sz w:val="21"/>
        </w:rPr>
        <w:t>，下列结果或判断正确的有（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总有功功率约为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总有功功率约为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10.4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功率因数提高可增大有功功率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忽略功率因数会使结果偏大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对称三相电路的总有功功率等于三相负载各相有功功率之和。（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三相四线制中，公共导线断开后，各相负载仍一定能获得额定相电压。（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在对称三相负载中，只要线电压增大，线电流和功率因数不变时，总有功功率会增大。（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计算三相负载有功功率时，功率因数可以用相角的正弦值表示。（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简述三相四线制中公共导线在不对称负载供电时的作用。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某对称三相加热负载接在线电压为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的电源上，运行时线电流为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√3≈1.73</w:t>
      </w:r>
      <w:r>
        <w:rPr>
          <w:rFonts w:ascii="宋体" w:hAnsi="宋体" w:eastAsia="宋体"/>
          <w:b w:val="0"/>
          <w:sz w:val="21"/>
        </w:rPr>
        <w:t>，求该负载的总有功功率，结果保留一位小数，单位用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车间配电柜需给一台对称三相水泵机组供电。该机组铭牌标注输入有功功率为</w:t>
      </w:r>
      <w:r>
        <w:rPr>
          <w:rFonts w:ascii="Times New Roman" w:hAnsi="Times New Roman" w:eastAsia="Times New Roman"/>
          <w:b w:val="0"/>
          <w:sz w:val="21"/>
        </w:rPr>
        <w:t>12.0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，额定线电压为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，运行功率因数为</w:t>
      </w:r>
      <w:r>
        <w:rPr>
          <w:rFonts w:ascii="Times New Roman" w:hAnsi="Times New Roman" w:eastAsia="Times New Roman"/>
          <w:b w:val="0"/>
          <w:sz w:val="21"/>
        </w:rPr>
        <w:t>0.80</w:t>
      </w:r>
      <w:r>
        <w:rPr>
          <w:rFonts w:ascii="宋体" w:hAnsi="宋体" w:eastAsia="宋体"/>
          <w:b w:val="0"/>
          <w:sz w:val="21"/>
        </w:rPr>
        <w:t xml:space="preserve">。取 </w:t>
      </w:r>
      <m:oMath>
        <m:r>
          <m:t>sqrt</m:t>
        </m:r>
        <m:r>
          <m:t>3</m:t>
        </m:r>
        <m:r>
          <m:t>≈1.73</m:t>
        </m:r>
      </m:oMath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）额定运行时的线电流；（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）若供电电缆允许长期通过的电流为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，判断该电缆是否满足运行要求；（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）若该机组接入三相四线制线路，说明正常对称运行时中性线是否承担工作电流及原因。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