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练，内容涵盖理解叠加定理的适用条件（线性电路），会用叠加定理分析多电源电路。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28</w:t>
      </w:r>
      <w:r>
        <w:rPr>
          <w:rFonts w:ascii="宋体" w:hAnsi="宋体" w:eastAsia="宋体"/>
          <w:b/>
          <w:sz w:val="28"/>
        </w:rPr>
        <w:t>练  叠加定理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叠加定理用于分析多个独立电源共同作用时的支路响应，被分析对象应属于（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饱和磁路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叠加定理的成立前提是电路参数不随电压或电流变化而变化，因此只适用于线性电路。含二极管、饱和铁心等非线性元件的电路不能直接使用该定理。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使用叠加定理时，保留某一独立电源单独作用，其他理想电压源应作（   ）处理。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并联负载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理想电压源不作用时，其电压取零，等效为导线短接。理想电流源不作用时才等效为开路，二者不能混淆。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用叠加定理求某支路电流时，合理的分析步骤应是（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先分源求量再代数相加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先合源求阻再求支路功率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先断开负载再判断极性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先改变电阻再比较电压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叠加定理要求每次只保留一个独立电源，分别求出该支路电流或电压分量，再按规定参考方向进行代数合成。功率不能直接用各分量叠加得到。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学生计算双电源电路时，把两个电源单独作用求得的电流数值直接相加，结果符号错误，主要原因是（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未选定参考方向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未换算电阻单位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未标明电源极性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未画出负载位置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叠加定理合成支路电流时必须先规定统一参考方向，方向相同取正，方向相反取负。只把数值直接相加容易造成符号和实际方向判断错误。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某线性电阻电路中，电源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单独作用在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中产生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电流，电源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单独作用在同一参考方向产生</w:t>
      </w:r>
      <w:r>
        <w:rPr>
          <w:rFonts w:ascii="Times New Roman" w:hAnsi="Times New Roman" w:eastAsia="Times New Roman"/>
          <w:b w:val="0"/>
          <w:sz w:val="21"/>
        </w:rPr>
        <w:t>-0.5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电流。若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电压加倍，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不变，下列判断正确的是（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E1</w:t>
            </w:r>
            <w:r>
              <w:rPr>
                <w:rFonts w:ascii="宋体" w:hAnsi="宋体" w:eastAsia="宋体"/>
                <w:b w:val="0"/>
                <w:sz w:val="21"/>
              </w:rPr>
              <w:t>分量变为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E2</w:t>
            </w:r>
            <w:r>
              <w:rPr>
                <w:rFonts w:ascii="宋体" w:hAnsi="宋体" w:eastAsia="宋体"/>
                <w:b w:val="0"/>
                <w:sz w:val="21"/>
              </w:rPr>
              <w:t>分量仍为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-0.5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合成电流变为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电阻功率可直接叠加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在线性电路中，某一电源作用产生的响应与该电源大小成正比，因此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E1</w:t>
      </w:r>
      <w:r>
        <w:rPr>
          <w:rFonts w:ascii="宋体" w:hAnsi="宋体" w:eastAsia="宋体"/>
          <w:b w:val="0"/>
          <w:color w:val="FF0000"/>
          <w:sz w:val="21"/>
        </w:rPr>
        <w:t>电压加倍时对应电流分量也加倍。</w:t>
      </w:r>
      <w:r>
        <w:rPr>
          <w:rFonts w:ascii="Times New Roman" w:hAnsi="Times New Roman" w:eastAsia="Times New Roman"/>
          <w:b w:val="0"/>
          <w:color w:val="FF0000"/>
          <w:sz w:val="21"/>
        </w:rPr>
        <w:t>E2</w:t>
      </w:r>
      <w:r>
        <w:rPr>
          <w:rFonts w:ascii="宋体" w:hAnsi="宋体" w:eastAsia="宋体"/>
          <w:b w:val="0"/>
          <w:color w:val="FF0000"/>
          <w:sz w:val="21"/>
        </w:rPr>
        <w:t>未改变，其分量不变，总电流按参考方向代数相加，功率不能按分量直接叠加。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维修技师分析两台直流电源和电阻组成的线性网络，准备用叠加定理，下列做法符合要求的是（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每次只保留一个独立电源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将其余电压源短接处理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将其余电流源短接处理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最后按参考方向代数合成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用叠加定理分析多电源线性电路时，应逐个考虑独立电源的作用。其余理想电压源置零后短接，理想电流源置零后开路，最后把各分量按参考方向合成。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关于叠加定理中各分量与总响应的关系，下列说法正确的是（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电流分量按方向合成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电压分量按极性合成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功率分量按数值合成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电阻分量按大小合成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叠加定理适用于线性电路中的电压和电流响应，合成时必须考虑方向或极性。功率与电压、电流不是一次线性关系，不能把各电源单独作用时的功率直接相加。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某支路以向右为参考方向。电源甲单独作用时电流为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，电源乙单独作用时电流为</w:t>
      </w:r>
      <w:r>
        <w:rPr>
          <w:rFonts w:ascii="Times New Roman" w:hAnsi="Times New Roman" w:eastAsia="Times New Roman"/>
          <w:b w:val="0"/>
          <w:sz w:val="21"/>
        </w:rPr>
        <w:t>-1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；若该支路电阻为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实际方向向右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按参考方向代数合成，支路电流为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-1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的代数和，即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，正号说明实际方向与参考方向相同。电阻电压可由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求得为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，功率应由合成后的电流计算，而不是把分量功率直接相加。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含有二极管整流支路的电路，一般不能直接按叠加定理求各电源响应。（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二极管属于非线性元件，其伏安关系不满足线性叠加条件。叠加定理只适用于线性电路中的电压和电流分析。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使用叠加定理时，被置零的理想电压源应等效为开路。（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理想电压源置零后电压为零，应等效为短路。理想电流源置零后电流为零，才等效为开路。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求某支路电压时，应先统一极性参考，再把各电源单独作用结果作代数合成。（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支路电压是有极性的物理量，应用叠加定理时必须先规定参考极性。各分量与参考极性一致取正，相反取负，才能得到正确总响应。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多电源电路用叠加定理计算时，只要各分量大小正确，总电流方向就一定正确。（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总电流方向不仅取决于各分量大小，还取决于各分量相对参考方向的符号。若把相反方向的分量按同号处理，即使分量大小正确，也会导致总方向判断错误。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简述运用叠加定理分析多电源线性电路的注意事项。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）必须确认电路为线性电路，叠加定理只适用于线性电路中的电压和电流响应。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）每次只保留一个独立电源单独作用，其余理想电压源短接，理想电流源开路。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）合成各分量前应规定统一参考方向或参考极性，并按代数关系求总电流或总电压。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本题考查叠加定理的适用条件、置源规则和合成方法。答题时应注意叠加对象是电压和电流，不能把各电源单独作用时的功率直接相加。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一个闭合回路由两个理想直流电压源和两个电阻串联组成，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。电源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，电源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，二者方向均使回路电流按顺时针方向流动。以顺时针为参考方向，用叠加定理求回路电流。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回路总电阻为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R=R1+R2=2+4=6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E1</w:t>
      </w:r>
      <w:r>
        <w:rPr>
          <w:rFonts w:ascii="宋体" w:hAnsi="宋体" w:eastAsia="宋体"/>
          <w:b w:val="0"/>
          <w:color w:val="FF0000"/>
          <w:sz w:val="21"/>
        </w:rPr>
        <w:t>单独作用时，</w:t>
      </w:r>
      <w:r>
        <w:rPr>
          <w:rFonts w:ascii="Times New Roman" w:hAnsi="Times New Roman" w:eastAsia="Times New Roman"/>
          <w:b w:val="0"/>
          <w:color w:val="FF0000"/>
          <w:sz w:val="21"/>
        </w:rPr>
        <w:t>E2</w:t>
      </w:r>
      <w:r>
        <w:rPr>
          <w:rFonts w:ascii="宋体" w:hAnsi="宋体" w:eastAsia="宋体"/>
          <w:b w:val="0"/>
          <w:color w:val="FF0000"/>
          <w:sz w:val="21"/>
        </w:rPr>
        <w:t>置零等效为短路，电流分量</w:t>
      </w:r>
      <w:r>
        <w:rPr>
          <w:rFonts w:ascii="Times New Roman" w:hAnsi="Times New Roman" w:eastAsia="Times New Roman"/>
          <w:b w:val="0"/>
          <w:color w:val="FF0000"/>
          <w:sz w:val="21"/>
        </w:rPr>
        <w:t>I1=E1/R=12/6=2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E2</w:t>
      </w:r>
      <w:r>
        <w:rPr>
          <w:rFonts w:ascii="宋体" w:hAnsi="宋体" w:eastAsia="宋体"/>
          <w:b w:val="0"/>
          <w:color w:val="FF0000"/>
          <w:sz w:val="21"/>
        </w:rPr>
        <w:t>单独作用时，</w:t>
      </w:r>
      <w:r>
        <w:rPr>
          <w:rFonts w:ascii="Times New Roman" w:hAnsi="Times New Roman" w:eastAsia="Times New Roman"/>
          <w:b w:val="0"/>
          <w:color w:val="FF0000"/>
          <w:sz w:val="21"/>
        </w:rPr>
        <w:t>E1</w:t>
      </w:r>
      <w:r>
        <w:rPr>
          <w:rFonts w:ascii="宋体" w:hAnsi="宋体" w:eastAsia="宋体"/>
          <w:b w:val="0"/>
          <w:color w:val="FF0000"/>
          <w:sz w:val="21"/>
        </w:rPr>
        <w:t>置零等效为短路，电流分量</w:t>
      </w:r>
      <w:r>
        <w:rPr>
          <w:rFonts w:ascii="Times New Roman" w:hAnsi="Times New Roman" w:eastAsia="Times New Roman"/>
          <w:b w:val="0"/>
          <w:color w:val="FF0000"/>
          <w:sz w:val="21"/>
        </w:rPr>
        <w:t>I2=E2/R=6/6=1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。两分量方向均与参考方向一致，故回路电流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I=I1+I2=2+1=3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某线性直流电路中，节点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通过负载电阻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接地；电源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，经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接到节点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；电源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，经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接到节点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。两电源负极均接地，求：（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单独作用和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单独作用时负载电流分量；（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）负载总电流和负载功率。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E1</w:t>
      </w:r>
      <w:r>
        <w:rPr>
          <w:rFonts w:ascii="宋体" w:hAnsi="宋体" w:eastAsia="宋体"/>
          <w:b w:val="0"/>
          <w:color w:val="FF0000"/>
          <w:sz w:val="21"/>
        </w:rPr>
        <w:t>单独作用时负载电流为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E2</w:t>
      </w:r>
      <w:r>
        <w:rPr>
          <w:rFonts w:ascii="宋体" w:hAnsi="宋体" w:eastAsia="宋体"/>
          <w:b w:val="0"/>
          <w:color w:val="FF0000"/>
          <w:sz w:val="21"/>
        </w:rPr>
        <w:t>单独作用时负载电流为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，负载功率为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E1</w:t>
      </w:r>
      <w:r>
        <w:rPr>
          <w:rFonts w:ascii="宋体" w:hAnsi="宋体" w:eastAsia="宋体"/>
          <w:b w:val="0"/>
          <w:color w:val="FF0000"/>
          <w:sz w:val="21"/>
        </w:rPr>
        <w:t>单独作用时，</w:t>
      </w:r>
      <w:r>
        <w:rPr>
          <w:rFonts w:ascii="Times New Roman" w:hAnsi="Times New Roman" w:eastAsia="Times New Roman"/>
          <w:b w:val="0"/>
          <w:color w:val="FF0000"/>
          <w:sz w:val="21"/>
        </w:rPr>
        <w:t>E2</w:t>
      </w:r>
      <w:r>
        <w:rPr>
          <w:rFonts w:ascii="宋体" w:hAnsi="宋体" w:eastAsia="宋体"/>
          <w:b w:val="0"/>
          <w:color w:val="FF0000"/>
          <w:sz w:val="21"/>
        </w:rPr>
        <w:t>置零，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并联，其等效电阻为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并</w:t>
      </w:r>
      <w:r>
        <w:rPr>
          <w:rFonts w:ascii="Times New Roman" w:hAnsi="Times New Roman" w:eastAsia="Times New Roman"/>
          <w:b w:val="0"/>
          <w:color w:val="FF0000"/>
          <w:sz w:val="21"/>
        </w:rPr>
        <w:t>=3×6/(3+6)=2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，节点电压分量</w:t>
      </w:r>
      <w:r>
        <w:rPr>
          <w:rFonts w:ascii="Times New Roman" w:hAnsi="Times New Roman" w:eastAsia="Times New Roman"/>
          <w:b w:val="0"/>
          <w:color w:val="FF0000"/>
          <w:sz w:val="21"/>
        </w:rPr>
        <w:t>Ua1=12×2/(6+2)=3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，负载电流分量</w:t>
      </w:r>
      <w:r>
        <w:rPr>
          <w:rFonts w:ascii="Times New Roman" w:hAnsi="Times New Roman" w:eastAsia="Times New Roman"/>
          <w:b w:val="0"/>
          <w:color w:val="FF0000"/>
          <w:sz w:val="21"/>
        </w:rPr>
        <w:t>IL1=Ua1/RL=3/6=0.5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E2</w:t>
      </w:r>
      <w:r>
        <w:rPr>
          <w:rFonts w:ascii="宋体" w:hAnsi="宋体" w:eastAsia="宋体"/>
          <w:b w:val="0"/>
          <w:color w:val="FF0000"/>
          <w:sz w:val="21"/>
        </w:rPr>
        <w:t>单独作用时，</w:t>
      </w:r>
      <w:r>
        <w:rPr>
          <w:rFonts w:ascii="Times New Roman" w:hAnsi="Times New Roman" w:eastAsia="Times New Roman"/>
          <w:b w:val="0"/>
          <w:color w:val="FF0000"/>
          <w:sz w:val="21"/>
        </w:rPr>
        <w:t>E1</w:t>
      </w:r>
      <w:r>
        <w:rPr>
          <w:rFonts w:ascii="宋体" w:hAnsi="宋体" w:eastAsia="宋体"/>
          <w:b w:val="0"/>
          <w:color w:val="FF0000"/>
          <w:sz w:val="21"/>
        </w:rPr>
        <w:t>置零，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并联，其等效电阻为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并</w:t>
      </w:r>
      <w:r>
        <w:rPr>
          <w:rFonts w:ascii="Times New Roman" w:hAnsi="Times New Roman" w:eastAsia="Times New Roman"/>
          <w:b w:val="0"/>
          <w:color w:val="FF0000"/>
          <w:sz w:val="21"/>
        </w:rPr>
        <w:t>=6×6/(6+6)=3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，节点电压分量</w:t>
      </w:r>
      <w:r>
        <w:rPr>
          <w:rFonts w:ascii="Times New Roman" w:hAnsi="Times New Roman" w:eastAsia="Times New Roman"/>
          <w:b w:val="0"/>
          <w:color w:val="FF0000"/>
          <w:sz w:val="21"/>
        </w:rPr>
        <w:t>Ua2=6×3/(3+3)=3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，负载电流分量</w:t>
      </w:r>
      <w:r>
        <w:rPr>
          <w:rFonts w:ascii="Times New Roman" w:hAnsi="Times New Roman" w:eastAsia="Times New Roman"/>
          <w:b w:val="0"/>
          <w:color w:val="FF0000"/>
          <w:sz w:val="21"/>
        </w:rPr>
        <w:t>IL2=Ua2/RL=3/6=0.5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）两个负载电流分量方向均由节点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流向地，负载总电流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IL=IL1+IL2=0.5+0.5=1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。负载电压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UL=ILRL=1×6=6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，负载功率</w:t>
      </w:r>
      <w:r>
        <w:rPr>
          <w:rFonts w:ascii="Times New Roman" w:hAnsi="Times New Roman" w:eastAsia="Times New Roman"/>
          <w:b w:val="0"/>
          <w:color w:val="FF0000"/>
          <w:sz w:val="21"/>
        </w:rPr>
        <w:t>P=ULIL=6×1=6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，因此负载总电流为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，负载功率为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