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31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练，内容涵盖理解二端网络和有源二端网络的概念，会用戴维宁定理将复杂电路等效为电压源串联电阻。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网络定理  第</w:t>
      </w:r>
      <w:r>
        <w:rPr>
          <w:rFonts w:ascii="Times New Roman" w:hAnsi="Times New Roman" w:eastAsia="Times New Roman"/>
          <w:b/>
          <w:sz w:val="28"/>
        </w:rPr>
        <w:t>31</w:t>
      </w:r>
      <w:r>
        <w:rPr>
          <w:rFonts w:ascii="宋体" w:hAnsi="宋体" w:eastAsia="宋体"/>
          <w:b/>
          <w:sz w:val="28"/>
        </w:rPr>
        <w:t>练  戴维宁定理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某端口内部含独立电源和电阻，且端口电压、电流关系符合线性规律，该端口可作为（   ）分析。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线性无源二端网络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线性有源二端网络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非线性无源二端网络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非线性有源二端网络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戴维宁定理适用于线性有源二端网络，可把其外部特性用一个电压源串联电阻来表示。若电路含非线性元件，则不能直接按该定理处理。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戴维宁等效电路接上负载后，其中串联电阻的作用是表示内部电路对端口的（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电流放大能力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电压稳定能力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功率储存能力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阻碍电流能力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戴维宁等效电阻反映原内部电路从端口看进去的等效阻碍作用。负载接入后，它会与负载共同决定电流大小和端电压分配。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用戴维宁定理分析端口电路时，先断开待求支路的目的主要是求取（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端口开路电压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支路短路电流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负载消耗功率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电源输出电流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断开待求支路后，端口两端没有外接负载电流，此时计算得到的端电压就是等效电压源的电压。若不断开负载，求得的是带载电压，不符合求等效电压的条件。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某电路等效后接入负载，实测电流小于理论值。检查发现端口开路电压计算正确，最可能需要复核的是（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负载标称功率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导线绝缘等级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等效电阻取值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开关安装方向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在等效电压确定时，负载电流还受等效电阻和负载电阻共同影响。若理论电流偏大，常见原因是等效电阻取值偏小或求取方法有误。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在戴维宁等效电路中，若外接负载电阻变小，下列变化可能出现的有（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负载电流增大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负载电压减小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内阻压降增大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开路电压减小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等效电压源电压由原网络决定，在同一等效条件下不随负载变化而改变。负载电阻减小时，总电阻减小，负载电流增大，串联内阻上的压降增大，负载端电压通常减小。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用万用表辅助验证某端口的戴维宁参数时，做法正确的有（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断开负载测端口电压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短接端口测短路电流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停用电源直接测内阻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接入负载测端电压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开路测得的端口电压可用于验证等效电压，接入已知负载测端电压也可反推等效参数。直接短接含源端口可能造成过流，停用电源直接测内阻还需满足独立源置零等条件，不能简单操作。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关于诺顿等效与戴维宁等效的比较，下列说法正确的有（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前者采用电流源并联电阻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后者采用电压源串联电阻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两者端口外特性可等效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两者内部结构必须相同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诺顿等效常表示为电流源并联电阻，戴维宁等效常表示为电压源串联电阻。两种模型可在端口外特性上等效，但并不要求与原内部结构完全相同。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某端口开路电压为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，等效电阻为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，接入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负载时，下列结果正确的有（   ）。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内阻压降为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负载功率为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总电阻为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相加所得的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，回路电流为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20/10</w:t>
      </w:r>
      <w:r>
        <w:rPr>
          <w:rFonts w:ascii="宋体" w:hAnsi="宋体" w:eastAsia="宋体"/>
          <w:b w:val="0"/>
          <w:color w:val="FF0000"/>
          <w:sz w:val="21"/>
        </w:rPr>
        <w:t>所得的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。负载电压为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A×5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所得的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，内阻压降也为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，负载功率应为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V×2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所得的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只有端口外部特性需要研究时，复杂内部电路才适合进行等效化处理。（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戴维宁等效保留的是端口对外的电压、电流关系，主要用于分析外接负载的工作情况。若要研究内部各支路电流，不能只依靠等效模型。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求等效电阻时，所有电源都应从电路中拆除并保持端口开路。（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求等效电阻时，独立电压源通常用短路代替，独立电流源通常用开路代替，而不是把所有电源简单拆除。若含受控源，还需按受控源处理规则分析。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当负载电阻等于戴维宁等效电阻时，负载获得的功率达到最大。（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在直流线性电路中，负载电阻与戴维宁等效电阻相等时满足最大功率传输条件。此结论用于功率匹配分析，不表示效率最高。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戴维宁等效只改变电路画法，因此原电路中每个元件的电压都可由等效图直接读出。（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戴维宁等效只保证端口外部电压、电流关系等效，不能保留原内部每个元件的实际电压和电流。若要计算内部支路参数，应回到原电路分析。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简述用戴维宁定理求负载电流的基本步骤。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）先将待求负载从原电路端口断开，求出端口的开路电压作为等效电压。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）再将原电路中的独立电源按规则置零，从端口看进去求出等效电阻。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）最后画出电压源串联电阻的等效电路，接回负载并计算负载电流。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本题考查戴维宁定理的应用流程。答题时应围绕“断负载求电压、处理电源求电阻、接回负载求结果”三个环节展开，注意受控源不能简单置零。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某线性有源二端网络的开路电压为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，等效电阻为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。若希望接入负载后的负载电压为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，求所需负载电阻。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根据戴维宁等效电路，负载电压为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宋体" w:hAnsi="宋体" w:eastAsia="宋体"/>
          <w:b w:val="0"/>
          <w:color w:val="FF0000"/>
          <w:sz w:val="21"/>
        </w:rPr>
        <w:t>负</w:t>
      </w:r>
      <w:r>
        <w:rPr>
          <w:rFonts w:ascii="Times New Roman" w:hAnsi="Times New Roman" w:eastAsia="Times New Roman"/>
          <w:b w:val="0"/>
          <w:color w:val="FF0000"/>
          <w:sz w:val="21"/>
        </w:rPr>
        <w:t>=U</w:t>
      </w:r>
      <w:r>
        <w:rPr>
          <w:rFonts w:ascii="宋体" w:hAnsi="宋体" w:eastAsia="宋体"/>
          <w:b w:val="0"/>
          <w:color w:val="FF0000"/>
          <w:sz w:val="21"/>
        </w:rPr>
        <w:t>开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负</w:t>
      </w:r>
      <w:r>
        <w:rPr>
          <w:rFonts w:ascii="Times New Roman" w:hAnsi="Times New Roman" w:eastAsia="Times New Roman"/>
          <w:b w:val="0"/>
          <w:color w:val="FF0000"/>
          <w:sz w:val="21"/>
        </w:rPr>
        <w:t>/(R</w:t>
      </w:r>
      <w:r>
        <w:rPr>
          <w:rFonts w:ascii="宋体" w:hAnsi="宋体" w:eastAsia="宋体"/>
          <w:b w:val="0"/>
          <w:color w:val="FF0000"/>
          <w:sz w:val="21"/>
        </w:rPr>
        <w:t>等</w:t>
      </w:r>
      <w:r>
        <w:rPr>
          <w:rFonts w:ascii="Times New Roman" w:hAnsi="Times New Roman" w:eastAsia="Times New Roman"/>
          <w:b w:val="0"/>
          <w:color w:val="FF0000"/>
          <w:sz w:val="21"/>
        </w:rPr>
        <w:t>+R</w:t>
      </w:r>
      <w:r>
        <w:rPr>
          <w:rFonts w:ascii="宋体" w:hAnsi="宋体" w:eastAsia="宋体"/>
          <w:b w:val="0"/>
          <w:color w:val="FF0000"/>
          <w:sz w:val="21"/>
        </w:rPr>
        <w:t>负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20=30R</w:t>
      </w:r>
      <w:r>
        <w:rPr>
          <w:rFonts w:ascii="宋体" w:hAnsi="宋体" w:eastAsia="宋体"/>
          <w:b w:val="0"/>
          <w:color w:val="FF0000"/>
          <w:sz w:val="21"/>
        </w:rPr>
        <w:t>负</w:t>
      </w:r>
      <w:r>
        <w:rPr>
          <w:rFonts w:ascii="Times New Roman" w:hAnsi="Times New Roman" w:eastAsia="Times New Roman"/>
          <w:b w:val="0"/>
          <w:color w:val="FF0000"/>
          <w:sz w:val="21"/>
        </w:rPr>
        <w:t>/(10+R</w:t>
      </w:r>
      <w:r>
        <w:rPr>
          <w:rFonts w:ascii="宋体" w:hAnsi="宋体" w:eastAsia="宋体"/>
          <w:b w:val="0"/>
          <w:color w:val="FF0000"/>
          <w:sz w:val="21"/>
        </w:rPr>
        <w:t>负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宋体" w:hAnsi="宋体" w:eastAsia="宋体"/>
          <w:b w:val="0"/>
          <w:color w:val="FF0000"/>
          <w:sz w:val="21"/>
        </w:rPr>
        <w:t>。整理得</w:t>
      </w:r>
      <w:r>
        <w:rPr>
          <w:rFonts w:ascii="Times New Roman" w:hAnsi="Times New Roman" w:eastAsia="Times New Roman"/>
          <w:b w:val="0"/>
          <w:color w:val="FF0000"/>
          <w:sz w:val="21"/>
        </w:rPr>
        <w:t>20(10+R</w:t>
      </w:r>
      <w:r>
        <w:rPr>
          <w:rFonts w:ascii="宋体" w:hAnsi="宋体" w:eastAsia="宋体"/>
          <w:b w:val="0"/>
          <w:color w:val="FF0000"/>
          <w:sz w:val="21"/>
        </w:rPr>
        <w:t>负</w:t>
      </w:r>
      <w:r>
        <w:rPr>
          <w:rFonts w:ascii="Times New Roman" w:hAnsi="Times New Roman" w:eastAsia="Times New Roman"/>
          <w:b w:val="0"/>
          <w:color w:val="FF0000"/>
          <w:sz w:val="21"/>
        </w:rPr>
        <w:t>)=30R</w:t>
      </w:r>
      <w:r>
        <w:rPr>
          <w:rFonts w:ascii="宋体" w:hAnsi="宋体" w:eastAsia="宋体"/>
          <w:b w:val="0"/>
          <w:color w:val="FF0000"/>
          <w:sz w:val="21"/>
        </w:rPr>
        <w:t>负，计算得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负</w:t>
      </w:r>
      <w:r>
        <w:rPr>
          <w:rFonts w:ascii="Times New Roman" w:hAnsi="Times New Roman" w:eastAsia="Times New Roman"/>
          <w:b w:val="0"/>
          <w:color w:val="FF0000"/>
          <w:sz w:val="21"/>
        </w:rPr>
        <w:t>=20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，因此所需负载电阻为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某含源线性二端网络接入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负载时，负载电压为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；接入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负载时，负载电压为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）该网络的戴维宁等效电压；（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）该网络的戴维宁等效电阻；（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）若改接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负载，负载电流为多少。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1.33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）设戴维宁等效电压为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宋体" w:hAnsi="宋体" w:eastAsia="宋体"/>
          <w:b w:val="0"/>
          <w:color w:val="FF0000"/>
          <w:sz w:val="21"/>
        </w:rPr>
        <w:t>等，等效电阻为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等。接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负载时，</w:t>
      </w:r>
      <w:r>
        <w:rPr>
          <w:rFonts w:ascii="Times New Roman" w:hAnsi="Times New Roman" w:eastAsia="Times New Roman"/>
          <w:b w:val="0"/>
          <w:color w:val="FF0000"/>
          <w:sz w:val="21"/>
        </w:rPr>
        <w:t>8=U</w:t>
      </w:r>
      <w:r>
        <w:rPr>
          <w:rFonts w:ascii="宋体" w:hAnsi="宋体" w:eastAsia="宋体"/>
          <w:b w:val="0"/>
          <w:color w:val="FF0000"/>
          <w:sz w:val="21"/>
        </w:rPr>
        <w:t>等</w:t>
      </w:r>
      <w:r>
        <w:rPr>
          <w:rFonts w:ascii="Times New Roman" w:hAnsi="Times New Roman" w:eastAsia="Times New Roman"/>
          <w:b w:val="0"/>
          <w:color w:val="FF0000"/>
          <w:sz w:val="21"/>
        </w:rPr>
        <w:t>×4/(R</w:t>
      </w:r>
      <w:r>
        <w:rPr>
          <w:rFonts w:ascii="宋体" w:hAnsi="宋体" w:eastAsia="宋体"/>
          <w:b w:val="0"/>
          <w:color w:val="FF0000"/>
          <w:sz w:val="21"/>
        </w:rPr>
        <w:t>等</w:t>
      </w:r>
      <w:r>
        <w:rPr>
          <w:rFonts w:ascii="Times New Roman" w:hAnsi="Times New Roman" w:eastAsia="Times New Roman"/>
          <w:b w:val="0"/>
          <w:color w:val="FF0000"/>
          <w:sz w:val="21"/>
        </w:rPr>
        <w:t>+4)</w:t>
      </w:r>
      <w:r>
        <w:rPr>
          <w:rFonts w:ascii="宋体" w:hAnsi="宋体" w:eastAsia="宋体"/>
          <w:b w:val="0"/>
          <w:color w:val="FF0000"/>
          <w:sz w:val="21"/>
        </w:rPr>
        <w:t>；接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负载时，</w:t>
      </w:r>
      <w:r>
        <w:rPr>
          <w:rFonts w:ascii="Times New Roman" w:hAnsi="Times New Roman" w:eastAsia="Times New Roman"/>
          <w:b w:val="0"/>
          <w:color w:val="FF0000"/>
          <w:sz w:val="21"/>
        </w:rPr>
        <w:t>12=U</w:t>
      </w:r>
      <w:r>
        <w:rPr>
          <w:rFonts w:ascii="宋体" w:hAnsi="宋体" w:eastAsia="宋体"/>
          <w:b w:val="0"/>
          <w:color w:val="FF0000"/>
          <w:sz w:val="21"/>
        </w:rPr>
        <w:t>等</w:t>
      </w:r>
      <w:r>
        <w:rPr>
          <w:rFonts w:ascii="Times New Roman" w:hAnsi="Times New Roman" w:eastAsia="Times New Roman"/>
          <w:b w:val="0"/>
          <w:color w:val="FF0000"/>
          <w:sz w:val="21"/>
        </w:rPr>
        <w:t>×12/(R</w:t>
      </w:r>
      <w:r>
        <w:rPr>
          <w:rFonts w:ascii="宋体" w:hAnsi="宋体" w:eastAsia="宋体"/>
          <w:b w:val="0"/>
          <w:color w:val="FF0000"/>
          <w:sz w:val="21"/>
        </w:rPr>
        <w:t>等</w:t>
      </w:r>
      <w:r>
        <w:rPr>
          <w:rFonts w:ascii="Times New Roman" w:hAnsi="Times New Roman" w:eastAsia="Times New Roman"/>
          <w:b w:val="0"/>
          <w:color w:val="FF0000"/>
          <w:sz w:val="21"/>
        </w:rPr>
        <w:t>+12)</w:t>
      </w:r>
      <w:r>
        <w:rPr>
          <w:rFonts w:ascii="宋体" w:hAnsi="宋体" w:eastAsia="宋体"/>
          <w:b w:val="0"/>
          <w:color w:val="FF0000"/>
          <w:sz w:val="21"/>
        </w:rPr>
        <w:t>。联立两式可求得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宋体" w:hAnsi="宋体" w:eastAsia="宋体"/>
          <w:b w:val="0"/>
          <w:color w:val="FF0000"/>
          <w:sz w:val="21"/>
        </w:rPr>
        <w:t>等</w:t>
      </w:r>
      <w:r>
        <w:rPr>
          <w:rFonts w:ascii="Times New Roman" w:hAnsi="Times New Roman" w:eastAsia="Times New Roman"/>
          <w:b w:val="0"/>
          <w:color w:val="FF0000"/>
          <w:sz w:val="21"/>
        </w:rPr>
        <w:t>=16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）将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宋体" w:hAnsi="宋体" w:eastAsia="宋体"/>
          <w:b w:val="0"/>
          <w:color w:val="FF0000"/>
          <w:sz w:val="21"/>
        </w:rPr>
        <w:t>等</w:t>
      </w:r>
      <w:r>
        <w:rPr>
          <w:rFonts w:ascii="Times New Roman" w:hAnsi="Times New Roman" w:eastAsia="Times New Roman"/>
          <w:b w:val="0"/>
          <w:color w:val="FF0000"/>
          <w:sz w:val="21"/>
        </w:rPr>
        <w:t>=16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代入</w:t>
      </w:r>
      <w:r>
        <w:rPr>
          <w:rFonts w:ascii="Times New Roman" w:hAnsi="Times New Roman" w:eastAsia="Times New Roman"/>
          <w:b w:val="0"/>
          <w:color w:val="FF0000"/>
          <w:sz w:val="21"/>
        </w:rPr>
        <w:t>8=16×4/(R</w:t>
      </w:r>
      <w:r>
        <w:rPr>
          <w:rFonts w:ascii="宋体" w:hAnsi="宋体" w:eastAsia="宋体"/>
          <w:b w:val="0"/>
          <w:color w:val="FF0000"/>
          <w:sz w:val="21"/>
        </w:rPr>
        <w:t>等</w:t>
      </w:r>
      <w:r>
        <w:rPr>
          <w:rFonts w:ascii="Times New Roman" w:hAnsi="Times New Roman" w:eastAsia="Times New Roman"/>
          <w:b w:val="0"/>
          <w:color w:val="FF0000"/>
          <w:sz w:val="21"/>
        </w:rPr>
        <w:t>+4)</w:t>
      </w:r>
      <w:r>
        <w:rPr>
          <w:rFonts w:ascii="宋体" w:hAnsi="宋体" w:eastAsia="宋体"/>
          <w:b w:val="0"/>
          <w:color w:val="FF0000"/>
          <w:sz w:val="21"/>
        </w:rPr>
        <w:t>，得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等</w:t>
      </w:r>
      <w:r>
        <w:rPr>
          <w:rFonts w:ascii="Times New Roman" w:hAnsi="Times New Roman" w:eastAsia="Times New Roman"/>
          <w:b w:val="0"/>
          <w:color w:val="FF0000"/>
          <w:sz w:val="21"/>
        </w:rPr>
        <w:t>+4=8</w:t>
      </w:r>
      <w:r>
        <w:rPr>
          <w:rFonts w:ascii="宋体" w:hAnsi="宋体" w:eastAsia="宋体"/>
          <w:b w:val="0"/>
          <w:color w:val="FF0000"/>
          <w:sz w:val="21"/>
        </w:rPr>
        <w:t>，计算得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等</w:t>
      </w:r>
      <w:r>
        <w:rPr>
          <w:rFonts w:ascii="Times New Roman" w:hAnsi="Times New Roman" w:eastAsia="Times New Roman"/>
          <w:b w:val="0"/>
          <w:color w:val="FF0000"/>
          <w:sz w:val="21"/>
        </w:rPr>
        <w:t>=4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，因此该网络的戴维宁等效电阻为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）接入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负载时，负载电流为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I=U</w:t>
      </w:r>
      <w:r>
        <w:rPr>
          <w:rFonts w:ascii="宋体" w:hAnsi="宋体" w:eastAsia="宋体"/>
          <w:b w:val="0"/>
          <w:color w:val="FF0000"/>
          <w:sz w:val="21"/>
        </w:rPr>
        <w:t>等</w:t>
      </w:r>
      <w:r>
        <w:rPr>
          <w:rFonts w:ascii="Times New Roman" w:hAnsi="Times New Roman" w:eastAsia="Times New Roman"/>
          <w:b w:val="0"/>
          <w:color w:val="FF0000"/>
          <w:sz w:val="21"/>
        </w:rPr>
        <w:t>/(R</w:t>
      </w:r>
      <w:r>
        <w:rPr>
          <w:rFonts w:ascii="宋体" w:hAnsi="宋体" w:eastAsia="宋体"/>
          <w:b w:val="0"/>
          <w:color w:val="FF0000"/>
          <w:sz w:val="21"/>
        </w:rPr>
        <w:t>等</w:t>
      </w:r>
      <w:r>
        <w:rPr>
          <w:rFonts w:ascii="Times New Roman" w:hAnsi="Times New Roman" w:eastAsia="Times New Roman"/>
          <w:b w:val="0"/>
          <w:color w:val="FF0000"/>
          <w:sz w:val="21"/>
        </w:rPr>
        <w:t>+R</w:t>
      </w:r>
      <w:r>
        <w:rPr>
          <w:rFonts w:ascii="宋体" w:hAnsi="宋体" w:eastAsia="宋体"/>
          <w:b w:val="0"/>
          <w:color w:val="FF0000"/>
          <w:sz w:val="21"/>
        </w:rPr>
        <w:t>负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I=16/(4+8)=1.33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负载中的电流约为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1.33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