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33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练，内容涵盖理解电压源和电流源模型，掌握两者等效变换的条件和步骤。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2</w:t>
      </w:r>
      <w:r>
        <w:rPr>
          <w:rFonts w:ascii="宋体" w:hAnsi="宋体" w:eastAsia="宋体"/>
          <w:b/>
          <w:sz w:val="28"/>
        </w:rPr>
        <w:t>节 网络定理  第</w:t>
      </w:r>
      <w:r>
        <w:rPr>
          <w:rFonts w:ascii="Times New Roman" w:hAnsi="Times New Roman" w:eastAsia="Times New Roman"/>
          <w:b/>
          <w:sz w:val="28"/>
        </w:rPr>
        <w:t>33</w:t>
      </w:r>
      <w:r>
        <w:rPr>
          <w:rFonts w:ascii="宋体" w:hAnsi="宋体" w:eastAsia="宋体"/>
          <w:b/>
          <w:sz w:val="28"/>
        </w:rPr>
        <w:t>练  两种电源模型的等效变换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实际电源进行模型互换后，要求接线端对负载呈现相同的伏安关系，这种互换属于（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只对外电路等效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只对内部支路等效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对全部元件等效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对电源结构等效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电源模型等效变换只要求外部端口的电压、电流关系保持一致，不要求电源内部结构完全相同。内部支路形式改变后，接同一负载时外电路效果应保持一致。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实际电压源模型中，内阻与理想电源的连接方式应是（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与理想源并联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与理想源串联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与负载相串联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与端口相短接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实际电压源可看成理想电压源与内阻串联组成。若内阻改为并联形式，就不再是实际电压源模型的结构。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将实际电流源改画为实际电压源时，已知源电流和并联电阻后，应先确定（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支路总电荷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端口开路电压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负载额定功率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导线允许电流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实际电流源变换为实际电压源时，需要由源电流与并联电阻求出端口开路电压。该电压就是等效电压源的电动势。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等效变换后的电源接入原负载，测得负载电压大小接近但正负端相反，最可能是（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内阻数值偏小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负载阻值偏大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源方向标注相反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导线长度偏短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负载电压大小接近说明等效参数基本正确，而正负端相反通常与电源方向或极性标注错误有关。内阻或负载变化主要影响数值大小，不会单独造成极性反向。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实际电源等效变换后，下列外部参数应保持一致的有（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端口开路电压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端口短路电流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负载伏安关系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电源内部结构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等效变换要求电源端口对外表现相同，因此开路电压、短路电流以及负载伏安关系应保持一致。电源内部结构可以由串联形式改为并联形式，不要求相同。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检修人员把一个实际电流源改画成实际电压源时，正确的处理有（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求出等效电动势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保持内阻数值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改成串联连接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去掉所有内阻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实际电流源变换为实际电压源时，等效电动势由源电流与并联内阻确定，内阻数值不变但连接方式改为串联。去掉内阻会把实际电源误画为理想电源，不能保持端口特性。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比较理想源和实际源，下列说法正确的有（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理想电压源内阻为零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理想电流源内阻无穷大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实际电压源含串联内阻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实际电流源不含内阻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理想电压源内阻视为零，理想电流源内阻视为无穷大。实际电压源常用串联内阻表示，实际电流源则用并联内阻表示。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一个实际电压源的电动势为</w:t>
      </w:r>
      <w:r>
        <w:rPr>
          <w:rFonts w:ascii="Times New Roman" w:hAnsi="Times New Roman" w:eastAsia="Times New Roman"/>
          <w:b w:val="0"/>
          <w:sz w:val="21"/>
        </w:rPr>
        <w:t>24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，内阻为</w:t>
      </w:r>
      <w:r>
        <w:rPr>
          <w:rFonts w:ascii="Times New Roman" w:hAnsi="Times New Roman" w:eastAsia="Times New Roman"/>
          <w:b w:val="0"/>
          <w:sz w:val="21"/>
        </w:rPr>
        <w:t>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，外接负载为</w:t>
      </w:r>
      <w:r>
        <w:rPr>
          <w:rFonts w:ascii="Times New Roman" w:hAnsi="Times New Roman" w:eastAsia="Times New Roman"/>
          <w:b w:val="0"/>
          <w:sz w:val="21"/>
        </w:rPr>
        <w:t>24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等效源电流为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并联内阻为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8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负载电流为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0.75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端口电压为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24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等效电流源的源电流由电动势除以内阻得到，为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，并联内阻仍为</w:t>
      </w:r>
      <w:r>
        <w:rPr>
          <w:rFonts w:ascii="Times New Roman" w:hAnsi="Times New Roman" w:eastAsia="Times New Roman"/>
          <w:b w:val="0"/>
          <w:color w:val="FF0000"/>
          <w:sz w:val="21"/>
        </w:rPr>
        <w:t>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。接入</w:t>
      </w:r>
      <w:r>
        <w:rPr>
          <w:rFonts w:ascii="Times New Roman" w:hAnsi="Times New Roman" w:eastAsia="Times New Roman"/>
          <w:b w:val="0"/>
          <w:color w:val="FF0000"/>
          <w:sz w:val="21"/>
        </w:rPr>
        <w:t>24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负载时，总电流为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24</w:t>
      </w:r>
      <w:r>
        <w:rPr>
          <w:rFonts w:ascii="宋体" w:hAnsi="宋体" w:eastAsia="宋体"/>
          <w:b w:val="0"/>
          <w:color w:val="FF0000"/>
          <w:sz w:val="21"/>
        </w:rPr>
        <w:t>除以</w:t>
      </w:r>
      <w:r>
        <w:rPr>
          <w:rFonts w:ascii="Times New Roman" w:hAnsi="Times New Roman" w:eastAsia="Times New Roman"/>
          <w:b w:val="0"/>
          <w:color w:val="FF0000"/>
          <w:sz w:val="21"/>
        </w:rPr>
        <w:t>32</w:t>
      </w:r>
      <w:r>
        <w:rPr>
          <w:rFonts w:ascii="宋体" w:hAnsi="宋体" w:eastAsia="宋体"/>
          <w:b w:val="0"/>
          <w:color w:val="FF0000"/>
          <w:sz w:val="21"/>
        </w:rPr>
        <w:t>得到</w:t>
      </w:r>
      <w:r>
        <w:rPr>
          <w:rFonts w:ascii="Times New Roman" w:hAnsi="Times New Roman" w:eastAsia="Times New Roman"/>
          <w:b w:val="0"/>
          <w:color w:val="FF0000"/>
          <w:sz w:val="21"/>
        </w:rPr>
        <w:t>0.75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，负载端电压为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18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，不是</w:t>
      </w:r>
      <w:r>
        <w:rPr>
          <w:rFonts w:ascii="Times New Roman" w:hAnsi="Times New Roman" w:eastAsia="Times New Roman"/>
          <w:b w:val="0"/>
          <w:color w:val="FF0000"/>
          <w:sz w:val="21"/>
        </w:rPr>
        <w:t>24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电源模型互换前后，接在端口上的同一负载应得到相同的电压和电流。（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等效变换的核心是保持端口对外特性不变。因此同一负载接在变换前后模型上，负载电压和负载电流应一致。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理想电压源也可以直接按有限内阻公式变换为实际电流源。（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有限参数变换需要实际电源具有确定的内阻。理想电压源内阻视为零，直接套用实际源变换公式会得到不合理的源电流。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实际电流源变换为实际电压源后，原并联内阻应改画为串联内阻。（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实际电流源由理想电流源与内阻并联表示，变换为实际电压源后，内阻数值保持不变但连接方式改为串联。这是两种模型结构互换的基本要求。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只要电源变换公式计算正确，电源方向和极性可以不作标注。（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电源方向和极性决定端口电压、电流的参考方向。若方向或极性标注错误，即使数值计算正确，也会导致外电路判断出现相反结论。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简述实际电源进行电压源模型与电流源模型等效变换的基本步骤。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）先识别原电源模型，判断是电压源串联内阻形式，还是电流源并联内阻形式。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）再按等效关系求出新电源的源参数，并保持内阻数值不变。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）最后改变内阻连接方式，正确标出新电源的方向或极性，再接入原外电路。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本题考查等效变换的操作顺序。答题时应围绕模型识别、参数换算、连接方式改变和方向标注四个要点展开，不能只写公式而忽略电路形式。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某实际电压源的电动势为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，串联内阻为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，外接负载电阻为</w:t>
      </w:r>
      <w:r>
        <w:rPr>
          <w:rFonts w:ascii="Times New Roman" w:hAnsi="Times New Roman" w:eastAsia="Times New Roman"/>
          <w:b w:val="0"/>
          <w:sz w:val="21"/>
        </w:rPr>
        <w:t>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）等效实际电流源的源电流和并联内阻；（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）接入该负载后的负载电流。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）源电流为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，并联内阻为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）负载电流为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）根据实际电压源变换为实际电流源的公式</w:t>
      </w:r>
      <w:r>
        <w:rPr>
          <w:rFonts w:ascii="Times New Roman" w:hAnsi="Times New Roman" w:eastAsia="Times New Roman"/>
          <w:b w:val="0"/>
          <w:color w:val="FF0000"/>
          <w:sz w:val="21"/>
        </w:rPr>
        <w:t>Is=E/r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Is=10/2=5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，内阻数值保持为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，因此等效源电流为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，并联内阻为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）用原实际电压源计算负载电流更直接，总电阻为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与</w:t>
      </w:r>
      <w:r>
        <w:rPr>
          <w:rFonts w:ascii="Times New Roman" w:hAnsi="Times New Roman" w:eastAsia="Times New Roman"/>
          <w:b w:val="0"/>
          <w:color w:val="FF0000"/>
          <w:sz w:val="21"/>
        </w:rPr>
        <w:t>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串联后的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。根据公式</w:t>
      </w:r>
      <w:r>
        <w:rPr>
          <w:rFonts w:ascii="Times New Roman" w:hAnsi="Times New Roman" w:eastAsia="Times New Roman"/>
          <w:b w:val="0"/>
          <w:color w:val="FF0000"/>
          <w:sz w:val="21"/>
        </w:rPr>
        <w:t>I=E/(r+RL)</w:t>
      </w:r>
      <w:r>
        <w:rPr>
          <w:rFonts w:ascii="宋体" w:hAnsi="宋体" w:eastAsia="宋体"/>
          <w:b w:val="0"/>
          <w:color w:val="FF0000"/>
          <w:sz w:val="21"/>
        </w:rPr>
        <w:t>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I=10/(2+8)=1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，因此负载电流为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某实际电流源的源电流为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，并联内阻为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，外接负载电阻为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）等效实际电压源的电动势和串联内阻；（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）负载电流和负载功率；（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）判断负载电阻增大到</w:t>
      </w:r>
      <w:r>
        <w:rPr>
          <w:rFonts w:ascii="Times New Roman" w:hAnsi="Times New Roman" w:eastAsia="Times New Roman"/>
          <w:b w:val="0"/>
          <w:sz w:val="21"/>
        </w:rPr>
        <w:t>9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时，负载电流将增大还是减小。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）电动势为</w:t>
      </w:r>
      <w:r>
        <w:rPr>
          <w:rFonts w:ascii="Times New Roman" w:hAnsi="Times New Roman" w:eastAsia="Times New Roman"/>
          <w:b w:val="0"/>
          <w:color w:val="FF0000"/>
          <w:sz w:val="21"/>
        </w:rPr>
        <w:t>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，串联内阻为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）负载电流为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1.33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，负载功率约为</w:t>
      </w:r>
      <w:r>
        <w:rPr>
          <w:rFonts w:ascii="Times New Roman" w:hAnsi="Times New Roman" w:eastAsia="Times New Roman"/>
          <w:b w:val="0"/>
          <w:color w:val="FF0000"/>
          <w:sz w:val="21"/>
        </w:rPr>
        <w:t>5.33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）负载电流将减小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）根据实际电流源变换为实际电压源的公式</w:t>
      </w:r>
      <w:r>
        <w:rPr>
          <w:rFonts w:ascii="Times New Roman" w:hAnsi="Times New Roman" w:eastAsia="Times New Roman"/>
          <w:b w:val="0"/>
          <w:color w:val="FF0000"/>
          <w:sz w:val="21"/>
        </w:rPr>
        <w:t>E=Isr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E=2×6=12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，内阻数值保持为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，因此等效电动势为</w:t>
      </w:r>
      <w:r>
        <w:rPr>
          <w:rFonts w:ascii="Times New Roman" w:hAnsi="Times New Roman" w:eastAsia="Times New Roman"/>
          <w:b w:val="0"/>
          <w:color w:val="FF0000"/>
          <w:sz w:val="21"/>
        </w:rPr>
        <w:t>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，串联内阻为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）根据串联电路电流公式</w:t>
      </w:r>
      <w:r>
        <w:rPr>
          <w:rFonts w:ascii="Times New Roman" w:hAnsi="Times New Roman" w:eastAsia="Times New Roman"/>
          <w:b w:val="0"/>
          <w:color w:val="FF0000"/>
          <w:sz w:val="21"/>
        </w:rPr>
        <w:t>I=E/(r+RL)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I=12/(6+3)=1.33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；根据功率公式</w:t>
      </w:r>
      <w:r>
        <w:rPr>
          <w:rFonts w:ascii="Times New Roman" w:hAnsi="Times New Roman" w:eastAsia="Times New Roman"/>
          <w:b w:val="0"/>
          <w:color w:val="FF0000"/>
          <w:sz w:val="21"/>
        </w:rPr>
        <w:t>P=I</w:t>
      </w:r>
      <w:r>
        <w:rPr>
          <w:rFonts w:ascii="宋体" w:hAnsi="宋体" w:eastAsia="宋体"/>
          <w:b w:val="0"/>
          <w:color w:val="FF0000"/>
          <w:sz w:val="21"/>
        </w:rPr>
        <w:t>²</w:t>
      </w:r>
      <w:r>
        <w:rPr>
          <w:rFonts w:ascii="Times New Roman" w:hAnsi="Times New Roman" w:eastAsia="Times New Roman"/>
          <w:b w:val="0"/>
          <w:color w:val="FF0000"/>
          <w:sz w:val="21"/>
        </w:rPr>
        <w:t>RL</w:t>
      </w:r>
      <w:r>
        <w:rPr>
          <w:rFonts w:ascii="宋体" w:hAnsi="宋体" w:eastAsia="宋体"/>
          <w:b w:val="0"/>
          <w:color w:val="FF0000"/>
          <w:sz w:val="21"/>
        </w:rPr>
        <w:t>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P=1.33</w:t>
      </w:r>
      <w:r>
        <w:rPr>
          <w:rFonts w:ascii="宋体" w:hAnsi="宋体" w:eastAsia="宋体"/>
          <w:b w:val="0"/>
          <w:color w:val="FF0000"/>
          <w:sz w:val="21"/>
        </w:rPr>
        <w:t>²</w:t>
      </w:r>
      <w:r>
        <w:rPr>
          <w:rFonts w:ascii="Times New Roman" w:hAnsi="Times New Roman" w:eastAsia="Times New Roman"/>
          <w:b w:val="0"/>
          <w:color w:val="FF0000"/>
          <w:sz w:val="21"/>
        </w:rPr>
        <w:t>×3≈5.33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，因此负载功率约为</w:t>
      </w:r>
      <w:r>
        <w:rPr>
          <w:rFonts w:ascii="Times New Roman" w:hAnsi="Times New Roman" w:eastAsia="Times New Roman"/>
          <w:b w:val="0"/>
          <w:color w:val="FF0000"/>
          <w:sz w:val="21"/>
        </w:rPr>
        <w:t>5.33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）当负载电阻变为</w:t>
      </w:r>
      <w:r>
        <w:rPr>
          <w:rFonts w:ascii="Times New Roman" w:hAnsi="Times New Roman" w:eastAsia="Times New Roman"/>
          <w:b w:val="0"/>
          <w:color w:val="FF0000"/>
          <w:sz w:val="21"/>
        </w:rPr>
        <w:t>9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时，负载电流</w:t>
      </w:r>
      <w:r>
        <w:rPr>
          <w:rFonts w:ascii="Times New Roman" w:hAnsi="Times New Roman" w:eastAsia="Times New Roman"/>
          <w:b w:val="0"/>
          <w:color w:val="FF0000"/>
          <w:sz w:val="21"/>
        </w:rPr>
        <w:t>I=12/(6+9)=0.80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</w:r>
      <w:r>
        <w:rPr>
          <w:rFonts w:ascii="Times New Roman" w:hAnsi="Times New Roman" w:eastAsia="Times New Roman"/>
          <w:b w:val="0"/>
          <w:color w:val="FF0000"/>
          <w:sz w:val="21"/>
        </w:rPr>
        <w:t>0.80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小于</w:t>
      </w:r>
      <w:r>
        <w:rPr>
          <w:rFonts w:ascii="Times New Roman" w:hAnsi="Times New Roman" w:eastAsia="Times New Roman"/>
          <w:b w:val="0"/>
          <w:color w:val="FF0000"/>
          <w:sz w:val="21"/>
        </w:rPr>
        <w:t>1.33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，因此负载电阻增大后负载电流将减小。</w:t>
      </w: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