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练，内容涵盖理解电流的形成条件与方向规定，掌握电流的定义及单位换算。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电流与电阻  第</w:t>
      </w:r>
      <w:r>
        <w:rPr>
          <w:rFonts w:ascii="Times New Roman" w:hAnsi="Times New Roman" w:eastAsia="Times New Roman"/>
          <w:b/>
          <w:sz w:val="28"/>
        </w:rPr>
        <w:t>5</w:t>
      </w:r>
      <w:r>
        <w:rPr>
          <w:rFonts w:ascii="宋体" w:hAnsi="宋体" w:eastAsia="宋体"/>
          <w:b/>
          <w:sz w:val="28"/>
        </w:rPr>
        <w:t>练  电流的形成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要使导体中产生能够维持的电流，通常应具备的条件是（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存在电源且回路闭合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存在电阻且开关断开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导线较长且电阻较大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用电器较多且电压为零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导体中要形成持续电流，必须有使电荷定向移动的电压，同时电路应构成闭合通路。开路或没有电源时，电荷不能持续定向移动。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在照明电路中，用来接通或切断支路，使灯泡工作状态发生改变的元件是（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开关的作用是控制电路的通断，闭合时支路形成通路，断开时支路形成开路。电源、导线和灯泡分别承担供电、连接和用电功能。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闭合直流电路后，金属导线中的自由电子在电场作用下会（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无序振动消耗电能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停在原处保持平衡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定向移动形成电流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随机扩散离开导体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金属导体中存在自由电子，闭合电路后电场使自由电子发生定向移动，从而形成电流。自由电子的热运动本身不能表示支路中有稳定电流。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用直流电流表测量支路电流时，若指针向零刻度左侧偏转，最可能的原因是（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表头极性接反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支路电阻偏大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直流电流表有正、负接线端要求，接线极性相反时，指针会反向偏转。量程偏小通常表现为指针超过满刻度，而不是向零刻度左侧偏转。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根据电流大小与电荷量、通电时间的关系，下列判断正确的有（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电荷量增大时，电流数值增大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电荷量增大时，电流数值减小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通电时间增大时，相同电荷对应电流减小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通电时间增大时，相同电荷对应电流增大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电流大小与通过导体横截面的电荷量成正比，与通电时间成反比。在同一比较条件下，应先明确哪个量保持不变，再判断电流变化方向。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某检修记录需要把电流值统一换算成安或毫安，下列换算正确的有（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0.0005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电流单位换算中，一安等于一千毫安。</w:t>
      </w:r>
      <w:r>
        <w:rPr>
          <w:rFonts w:ascii="Times New Roman" w:hAnsi="Times New Roman" w:eastAsia="Times New Roman"/>
          <w:b w:val="0"/>
          <w:color w:val="FF0000"/>
          <w:sz w:val="21"/>
        </w:rPr>
        <w:t>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应换算为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项把小数点位置写错了。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下列对电流与电压关系的辨析正确的有（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电压能使自由电荷受力运动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电流表示电荷定向移动强弱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开路时支路一定有稳定电流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缺少载流粒子时难以导电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电压是形成电流的原因之一，电流反映电荷定向移动的强弱。电路开路时不能维持稳定电流，导体中还必须存在能够移动的带电粒子。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某电路检测记录中出现以下电流数据，下列换算正确的有（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安与毫安之间按一千倍换算，安换成毫安时数值乘以一千，毫安换成安时数值除以一千。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应换算为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3000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项错误。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表示一毫安，它等于</w:t>
      </w:r>
      <w:r>
        <w:rPr>
          <w:rFonts w:ascii="Times New Roman" w:hAnsi="Times New Roman" w:eastAsia="Times New Roman"/>
          <w:b w:val="0"/>
          <w:sz w:val="21"/>
        </w:rPr>
        <w:t>0.001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毫安是安培的常用较小单位，一毫安是千分之一安。进行电流单位换算时，应注意小数点移动方向。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在电源外部的直流电路中，电流规定方向是从电源负极流向正极。（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在电源外部，电流的规定方向是从电源正极经用电器流向负极。把外电路方向说成由负极到正极，是将电子实际移动方向与规定方向混淆了。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金属导体、某些液体和气体中，只要存在能移动的带电粒子并满足条件，都可能形成电流。（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电流的本质是带电粒子的定向移动，载流粒子不只限于金属中的自由电子。电解液中的正负离子、气体中的带电粒子在一定条件下也能参与导电。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同样通过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的电荷量，通电时间越长，平均电流越大。（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在通过电荷量相同的条件下，通电时间越长，单位时间通过的电荷量越少，平均电流越小。该说法把时间与电流大小的关系判断反了。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简述在金属导体接入直流闭合回路后，应怎样从载流粒子、方向规定和单位三个方面理解电流。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）金属导体中的自由电子在电场作用下发生定向移动，这是金属导体中形成电流的微观基础。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）电流的规定方向是正电荷定向移动的方向，在金属导体中它与自由电子实际移动方向相反。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）电流的国际单位是安培，常用单位还有毫安和微安，换算时应按相邻单位的倍数关系进行。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本题应围绕电流的形成、方向规定和单位表达三个方面作答。易错点是把自由电子实际移动方向直接当作电流规定方向，或在安与毫安换算时漏掉一千倍关系。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某传感器支路的工作电流为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，连续通电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，求这段时间通过该支路导体横截面的电荷量，结果用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根据电流定义式</w:t>
      </w:r>
      <w:r>
        <w:rPr>
          <w:rFonts w:ascii="Times New Roman" w:hAnsi="Times New Roman" w:eastAsia="Times New Roman"/>
          <w:b w:val="0"/>
          <w:color w:val="FF0000"/>
          <w:sz w:val="21"/>
        </w:rPr>
        <w:t>I=Q/t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Q=It</w:t>
      </w:r>
      <w:r>
        <w:rPr>
          <w:rFonts w:ascii="宋体" w:hAnsi="宋体" w:eastAsia="宋体"/>
          <w:b w:val="0"/>
          <w:color w:val="FF0000"/>
          <w:sz w:val="21"/>
        </w:rPr>
        <w:t>。已知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mA=0.025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min=240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Q=0.025×240=6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。因此这段时间通过该支路导体横截面的电荷量为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某控制板支路的允许工作电流不超过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。检修时测得该支路在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内通过的电荷量为</w:t>
      </w:r>
      <w:r>
        <w:rPr>
          <w:rFonts w:ascii="Times New Roman" w:hAnsi="Times New Roman" w:eastAsia="Times New Roman"/>
          <w:b w:val="0"/>
          <w:sz w:val="21"/>
        </w:rPr>
        <w:t>27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）该支路的平均电流；（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）判断该支路是否超过允许工作电流，并说明判断依据。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）超过允许工作电流，因为</w:t>
      </w:r>
      <w:r>
        <w:rPr>
          <w:rFonts w:ascii="Times New Roman" w:hAnsi="Times New Roman" w:eastAsia="Times New Roman"/>
          <w:b w:val="0"/>
          <w:color w:val="FF0000"/>
          <w:sz w:val="21"/>
        </w:rPr>
        <w:t>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大于</w:t>
      </w:r>
      <w:r>
        <w:rPr>
          <w:rFonts w:ascii="Times New Roman" w:hAnsi="Times New Roman" w:eastAsia="Times New Roman"/>
          <w:b w:val="0"/>
          <w:color w:val="FF0000"/>
          <w:sz w:val="21"/>
        </w:rPr>
        <w:t>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）根据电流定义式</w:t>
      </w:r>
      <w:r>
        <w:rPr>
          <w:rFonts w:ascii="Times New Roman" w:hAnsi="Times New Roman" w:eastAsia="Times New Roman"/>
          <w:b w:val="0"/>
          <w:color w:val="FF0000"/>
          <w:sz w:val="21"/>
        </w:rPr>
        <w:t>I=Q/t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I=27/30=0.9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，所以该支路的平均电流为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）将计算得到的</w:t>
      </w:r>
      <w:r>
        <w:rPr>
          <w:rFonts w:ascii="Times New Roman" w:hAnsi="Times New Roman" w:eastAsia="Times New Roman"/>
          <w:b w:val="0"/>
          <w:color w:val="FF0000"/>
          <w:sz w:val="21"/>
        </w:rPr>
        <w:t>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与允许值</w:t>
      </w:r>
      <w:r>
        <w:rPr>
          <w:rFonts w:ascii="Times New Roman" w:hAnsi="Times New Roman" w:eastAsia="Times New Roman"/>
          <w:b w:val="0"/>
          <w:color w:val="FF0000"/>
          <w:sz w:val="21"/>
        </w:rPr>
        <w:t>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比较，</w:t>
      </w:r>
      <w:r>
        <w:rPr>
          <w:rFonts w:ascii="Times New Roman" w:hAnsi="Times New Roman" w:eastAsia="Times New Roman"/>
          <w:b w:val="0"/>
          <w:color w:val="FF0000"/>
          <w:sz w:val="21"/>
        </w:rPr>
        <w:t>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大于</w:t>
      </w:r>
      <w:r>
        <w:rPr>
          <w:rFonts w:ascii="Times New Roman" w:hAnsi="Times New Roman" w:eastAsia="Times New Roman"/>
          <w:b w:val="0"/>
          <w:color w:val="FF0000"/>
          <w:sz w:val="21"/>
        </w:rPr>
        <w:t>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，因此该支路已经超过允许工作电流，应检查负载或线路是否存在异常。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